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17E0" w14:textId="77777777" w:rsidR="00AC081F" w:rsidRDefault="00A4626B">
      <w:pPr>
        <w:jc w:val="center"/>
        <w:rPr>
          <w:b/>
          <w:u w:val="single"/>
        </w:rPr>
      </w:pPr>
      <w:bookmarkStart w:id="0" w:name="_GoBack"/>
      <w:bookmarkEnd w:id="0"/>
      <w:r>
        <w:rPr>
          <w:b/>
          <w:u w:val="single"/>
        </w:rPr>
        <w:t>SERVICES</w:t>
      </w:r>
      <w:r w:rsidR="00104722">
        <w:rPr>
          <w:b/>
          <w:u w:val="single"/>
        </w:rPr>
        <w:t xml:space="preserve"> </w:t>
      </w:r>
      <w:r w:rsidR="00623803">
        <w:rPr>
          <w:b/>
          <w:u w:val="single"/>
        </w:rPr>
        <w:t>AGREEMENT</w:t>
      </w:r>
    </w:p>
    <w:p w14:paraId="5AD7BB20" w14:textId="77777777" w:rsidR="00AC081F" w:rsidRDefault="00AC081F">
      <w:pPr>
        <w:jc w:val="center"/>
        <w:rPr>
          <w:b/>
          <w:u w:val="single"/>
        </w:rPr>
      </w:pPr>
    </w:p>
    <w:p w14:paraId="213290CB" w14:textId="77777777" w:rsidR="00AC081F" w:rsidRDefault="00623803">
      <w:r>
        <w:t xml:space="preserve">This </w:t>
      </w:r>
      <w:r w:rsidR="00A4626B">
        <w:t>Services</w:t>
      </w:r>
      <w:r>
        <w:t xml:space="preserve"> Agreement (the “Agreement”) is made and entered into this _____</w:t>
      </w:r>
      <w:r w:rsidR="004578E1">
        <w:t>_</w:t>
      </w:r>
      <w:r w:rsidR="000446C8">
        <w:t>_ day of ________________, 201</w:t>
      </w:r>
      <w:r w:rsidR="00685263">
        <w:t>9</w:t>
      </w:r>
      <w:r>
        <w:t xml:space="preserve"> (the “Effective Date”), by and between</w:t>
      </w:r>
      <w:r w:rsidR="005D36C3">
        <w:t xml:space="preserve"> </w:t>
      </w:r>
      <w:r w:rsidR="00E55BEC">
        <w:t xml:space="preserve">Fathers and Families Resource/Research Center, </w:t>
      </w:r>
      <w:r w:rsidR="007F1A48">
        <w:t>Inc.</w:t>
      </w:r>
      <w:r w:rsidR="00E55BEC">
        <w:t xml:space="preserve"> d/b/a Fathers and Families Center</w:t>
      </w:r>
      <w:r w:rsidR="005D36C3">
        <w:t xml:space="preserve"> (“</w:t>
      </w:r>
      <w:r w:rsidR="00E55BEC">
        <w:t>Center</w:t>
      </w:r>
      <w:r w:rsidR="00DF5F4F">
        <w:t xml:space="preserve">”) </w:t>
      </w:r>
      <w:r>
        <w:t xml:space="preserve">and </w:t>
      </w:r>
      <w:r w:rsidR="00E55BEC">
        <w:t xml:space="preserve">Health &amp; Hospital Corporation of Marion County d/b/a </w:t>
      </w:r>
      <w:r w:rsidR="004845D1">
        <w:t>Eskenazi Health</w:t>
      </w:r>
      <w:r w:rsidR="005D36C3">
        <w:t xml:space="preserve"> (“</w:t>
      </w:r>
      <w:r w:rsidR="004845D1">
        <w:t>EH</w:t>
      </w:r>
      <w:r w:rsidR="005D36C3">
        <w:t xml:space="preserve">”), </w:t>
      </w:r>
      <w:r w:rsidR="00DF5F4F">
        <w:t>(</w:t>
      </w:r>
      <w:r>
        <w:t>referred to individually and collectively as a “Party” or the “Parties”).</w:t>
      </w:r>
    </w:p>
    <w:p w14:paraId="2BE9913E" w14:textId="77777777" w:rsidR="00AC081F" w:rsidRDefault="00AC081F">
      <w:pPr>
        <w:ind w:firstLine="720"/>
      </w:pPr>
    </w:p>
    <w:p w14:paraId="3A75B4AA" w14:textId="77777777" w:rsidR="00AC081F" w:rsidRDefault="00623803">
      <w:pPr>
        <w:jc w:val="center"/>
        <w:rPr>
          <w:u w:val="single"/>
        </w:rPr>
      </w:pPr>
      <w:r>
        <w:rPr>
          <w:u w:val="single"/>
        </w:rPr>
        <w:t>RECITALS</w:t>
      </w:r>
    </w:p>
    <w:p w14:paraId="50A0BFFD" w14:textId="77777777" w:rsidR="00AC081F" w:rsidRDefault="00AC081F">
      <w:pPr>
        <w:jc w:val="center"/>
        <w:rPr>
          <w:u w:val="single"/>
        </w:rPr>
      </w:pPr>
    </w:p>
    <w:p w14:paraId="41F22BC5" w14:textId="77777777" w:rsidR="00AC081F" w:rsidRPr="00154338" w:rsidRDefault="00E55BEC" w:rsidP="00154338">
      <w:pPr>
        <w:pStyle w:val="ListParagraph"/>
        <w:numPr>
          <w:ilvl w:val="0"/>
          <w:numId w:val="15"/>
        </w:numPr>
        <w:rPr>
          <w:u w:val="single"/>
        </w:rPr>
      </w:pPr>
      <w:r>
        <w:t>Center</w:t>
      </w:r>
      <w:r w:rsidR="004845D1">
        <w:t xml:space="preserve"> </w:t>
      </w:r>
      <w:r w:rsidR="00623803">
        <w:t>is an</w:t>
      </w:r>
      <w:r w:rsidR="00A312C6">
        <w:t xml:space="preserve"> Indiana nonprofit corporation</w:t>
      </w:r>
      <w:r w:rsidR="00623803">
        <w:t xml:space="preserve"> exempt from the payment of federal income tax pursuant to</w:t>
      </w:r>
      <w:r w:rsidR="00A312C6">
        <w:t xml:space="preserve"> Section </w:t>
      </w:r>
      <w:r w:rsidR="00FC36D1">
        <w:t xml:space="preserve">501(c)(3) </w:t>
      </w:r>
      <w:r w:rsidR="00623803">
        <w:t>of the Internal Revenue Code of</w:t>
      </w:r>
      <w:r w:rsidR="00154338">
        <w:t xml:space="preserve"> 1986, as amended (the “Code”)</w:t>
      </w:r>
      <w:r w:rsidR="00A312C6">
        <w:t xml:space="preserve">, and a public charity classified in Code section </w:t>
      </w:r>
      <w:r w:rsidR="00623753">
        <w:t>170(b)(1)(A)(vi).</w:t>
      </w:r>
    </w:p>
    <w:p w14:paraId="0285FCC3" w14:textId="77777777" w:rsidR="00AC081F" w:rsidRDefault="00AC081F">
      <w:pPr>
        <w:pStyle w:val="ListParagraph"/>
        <w:rPr>
          <w:u w:val="single"/>
        </w:rPr>
      </w:pPr>
    </w:p>
    <w:p w14:paraId="693E704C" w14:textId="77777777" w:rsidR="00AC081F" w:rsidRPr="00154338" w:rsidRDefault="004845D1" w:rsidP="00154338">
      <w:pPr>
        <w:pStyle w:val="ListParagraph"/>
        <w:numPr>
          <w:ilvl w:val="0"/>
          <w:numId w:val="15"/>
        </w:numPr>
        <w:rPr>
          <w:u w:val="single"/>
        </w:rPr>
      </w:pPr>
      <w:r>
        <w:t>EH</w:t>
      </w:r>
      <w:r w:rsidR="00FC36D1">
        <w:t xml:space="preserve"> is</w:t>
      </w:r>
      <w:r>
        <w:t xml:space="preserve"> part of Health and Hospital Co</w:t>
      </w:r>
      <w:r w:rsidR="00DF5F4F">
        <w:t>rporation of Marion County</w:t>
      </w:r>
      <w:r>
        <w:t xml:space="preserve"> (“HHC”), which is</w:t>
      </w:r>
      <w:r w:rsidR="007F1A48">
        <w:t xml:space="preserve"> a municipal corporation pursuant to Indiana Code 16-22-8 </w:t>
      </w:r>
      <w:r w:rsidR="007F1A48">
        <w:rPr>
          <w:i/>
        </w:rPr>
        <w:t>et seq.</w:t>
      </w:r>
      <w:r w:rsidR="007F1A48">
        <w:t>, and</w:t>
      </w:r>
      <w:r w:rsidR="00FC36D1">
        <w:t xml:space="preserve"> </w:t>
      </w:r>
      <w:r w:rsidR="00A4626B">
        <w:t>a government unit exempt from the payment</w:t>
      </w:r>
      <w:r w:rsidR="005D36C3">
        <w:t xml:space="preserve"> of federal income tax pursuant to </w:t>
      </w:r>
      <w:r w:rsidR="00623753">
        <w:t>Code s</w:t>
      </w:r>
      <w:r w:rsidR="005D36C3">
        <w:t>ection</w:t>
      </w:r>
      <w:r w:rsidR="00623753">
        <w:t>s</w:t>
      </w:r>
      <w:r w:rsidR="005D36C3">
        <w:t xml:space="preserve"> 501(c)(3) and 170(b)(1)(A)(v). </w:t>
      </w:r>
    </w:p>
    <w:p w14:paraId="1B66FAF1" w14:textId="77777777" w:rsidR="00AC081F" w:rsidRDefault="00AC081F">
      <w:pPr>
        <w:pStyle w:val="ListParagraph"/>
      </w:pPr>
    </w:p>
    <w:p w14:paraId="58B5A62C" w14:textId="77777777" w:rsidR="006E2A8F" w:rsidRDefault="00E55BEC">
      <w:pPr>
        <w:pStyle w:val="ListParagraph"/>
        <w:numPr>
          <w:ilvl w:val="0"/>
          <w:numId w:val="15"/>
        </w:numPr>
      </w:pPr>
      <w:r>
        <w:t>Center</w:t>
      </w:r>
      <w:r w:rsidR="004845D1">
        <w:t xml:space="preserve"> </w:t>
      </w:r>
      <w:r w:rsidR="006E2A8F">
        <w:t xml:space="preserve">seeks operational and administrative support, including personnel services (collectively, the “Services”), to conduct its charitable and educational activities, and desires to assist </w:t>
      </w:r>
      <w:r w:rsidR="004845D1">
        <w:t>EH</w:t>
      </w:r>
      <w:r w:rsidR="006E2A8F">
        <w:t xml:space="preserve"> </w:t>
      </w:r>
      <w:r>
        <w:t xml:space="preserve">patients through the provision of </w:t>
      </w:r>
      <w:r w:rsidR="006E2A8F">
        <w:t xml:space="preserve">services. </w:t>
      </w:r>
    </w:p>
    <w:p w14:paraId="4BB4CFC8" w14:textId="77777777" w:rsidR="006E2A8F" w:rsidRDefault="006E2A8F" w:rsidP="006E2A8F">
      <w:pPr>
        <w:pStyle w:val="ListParagraph"/>
      </w:pPr>
    </w:p>
    <w:p w14:paraId="729417C6" w14:textId="77777777" w:rsidR="003279EE" w:rsidRPr="006E2A8F" w:rsidRDefault="004845D1" w:rsidP="006E2A8F">
      <w:pPr>
        <w:pStyle w:val="ListParagraph"/>
        <w:numPr>
          <w:ilvl w:val="0"/>
          <w:numId w:val="15"/>
        </w:numPr>
        <w:rPr>
          <w:u w:val="single"/>
        </w:rPr>
      </w:pPr>
      <w:r>
        <w:t>EH</w:t>
      </w:r>
      <w:r w:rsidR="00E55BEC">
        <w:t xml:space="preserve"> seeks </w:t>
      </w:r>
      <w:r w:rsidR="006E2A8F">
        <w:t>services</w:t>
      </w:r>
      <w:r w:rsidR="00E55BEC">
        <w:t xml:space="preserve"> for its patients</w:t>
      </w:r>
      <w:r w:rsidR="006E2A8F">
        <w:t xml:space="preserve"> and desires to assist </w:t>
      </w:r>
      <w:r w:rsidR="00E55BEC">
        <w:t>Center</w:t>
      </w:r>
      <w:r w:rsidR="006E2A8F">
        <w:t xml:space="preserve"> through the provision of the Services on the terms and conditions set forth herein.  </w:t>
      </w:r>
    </w:p>
    <w:p w14:paraId="36610B41" w14:textId="77777777" w:rsidR="003279EE" w:rsidRDefault="003279EE" w:rsidP="003279EE">
      <w:pPr>
        <w:pStyle w:val="ListParagraph"/>
      </w:pPr>
    </w:p>
    <w:p w14:paraId="43F98E0F" w14:textId="77777777" w:rsidR="00AC081F" w:rsidRDefault="00E55BEC">
      <w:pPr>
        <w:pStyle w:val="ListParagraph"/>
        <w:numPr>
          <w:ilvl w:val="0"/>
          <w:numId w:val="15"/>
        </w:numPr>
      </w:pPr>
      <w:r>
        <w:t>Center</w:t>
      </w:r>
      <w:r w:rsidR="007F1A48">
        <w:t xml:space="preserve"> and </w:t>
      </w:r>
      <w:r w:rsidR="004845D1">
        <w:t>EH</w:t>
      </w:r>
      <w:r w:rsidR="007F1A48">
        <w:t xml:space="preserve"> have an existing collaborative and working relationship, and this Agreement is intended to memorialize that which already occurs between the parties</w:t>
      </w:r>
      <w:r w:rsidR="007472AB">
        <w:t xml:space="preserve">. </w:t>
      </w:r>
    </w:p>
    <w:p w14:paraId="57CBC04C" w14:textId="77777777" w:rsidR="00AC081F" w:rsidRDefault="00AC081F">
      <w:pPr>
        <w:pStyle w:val="ListParagraph"/>
        <w:rPr>
          <w:u w:val="single"/>
        </w:rPr>
      </w:pPr>
    </w:p>
    <w:p w14:paraId="3E9CFE33" w14:textId="77777777" w:rsidR="00AC081F" w:rsidRDefault="00623803">
      <w:r>
        <w:t>NOW, THEREFORE, in consideration of the mutual covenants contained herein and for good and valuable consideration, the receipt and adequacy of which are hereby acknowledged, the Parties</w:t>
      </w:r>
      <w:r w:rsidR="006E2A8F">
        <w:t xml:space="preserve"> incorporate the foregoing Recitals and further</w:t>
      </w:r>
      <w:r>
        <w:t xml:space="preserve"> agree as follows:</w:t>
      </w:r>
    </w:p>
    <w:p w14:paraId="27D0B528" w14:textId="77777777" w:rsidR="00AC081F" w:rsidRDefault="00AC081F"/>
    <w:p w14:paraId="0CC29614" w14:textId="77777777" w:rsidR="00AC081F" w:rsidRDefault="00623803">
      <w:pPr>
        <w:jc w:val="center"/>
        <w:rPr>
          <w:u w:val="single"/>
        </w:rPr>
      </w:pPr>
      <w:r>
        <w:rPr>
          <w:u w:val="single"/>
        </w:rPr>
        <w:t>AGREEMENT</w:t>
      </w:r>
    </w:p>
    <w:p w14:paraId="200428E0" w14:textId="77777777" w:rsidR="00AC081F" w:rsidRDefault="00AC081F"/>
    <w:p w14:paraId="5AA0E846" w14:textId="77777777" w:rsidR="00AC081F" w:rsidRDefault="00AC081F">
      <w:pPr>
        <w:pStyle w:val="ListParagraph"/>
      </w:pPr>
    </w:p>
    <w:p w14:paraId="69FBA988" w14:textId="77777777" w:rsidR="009F4394" w:rsidRDefault="006E2A8F" w:rsidP="009F4394">
      <w:pPr>
        <w:pStyle w:val="ListParagraph"/>
        <w:numPr>
          <w:ilvl w:val="0"/>
          <w:numId w:val="25"/>
        </w:numPr>
      </w:pPr>
      <w:r w:rsidRPr="009F4394">
        <w:rPr>
          <w:u w:val="single"/>
        </w:rPr>
        <w:t>Personnel</w:t>
      </w:r>
      <w:r w:rsidR="008D5085">
        <w:t xml:space="preserve">. </w:t>
      </w:r>
      <w:r>
        <w:t xml:space="preserve">Although </w:t>
      </w:r>
      <w:r w:rsidR="004845D1">
        <w:t>HHC</w:t>
      </w:r>
      <w:r>
        <w:t xml:space="preserve"> technically serves as the employer to all personnel who carry out </w:t>
      </w:r>
      <w:r w:rsidR="0004458A">
        <w:t>Center</w:t>
      </w:r>
      <w:r>
        <w:t xml:space="preserve"> activities (the “Employees”), </w:t>
      </w:r>
      <w:r w:rsidR="0004458A">
        <w:t>Center</w:t>
      </w:r>
      <w:r>
        <w:t xml:space="preserve"> reimburses </w:t>
      </w:r>
      <w:r w:rsidR="004845D1">
        <w:t xml:space="preserve">EH </w:t>
      </w:r>
      <w:r>
        <w:t xml:space="preserve">the full cost of salary </w:t>
      </w:r>
      <w:r w:rsidR="00F442AD">
        <w:t>an</w:t>
      </w:r>
      <w:r w:rsidR="002E3B77">
        <w:t xml:space="preserve">d benefits </w:t>
      </w:r>
      <w:r>
        <w:t xml:space="preserve">expenses related to the </w:t>
      </w:r>
      <w:r w:rsidR="0091347C">
        <w:t xml:space="preserve">Employees.  The Employees </w:t>
      </w:r>
      <w:r w:rsidR="002E3B77">
        <w:t>are</w:t>
      </w:r>
      <w:r w:rsidR="0091347C">
        <w:t xml:space="preserve"> covered under </w:t>
      </w:r>
      <w:r w:rsidR="004845D1">
        <w:t>EH</w:t>
      </w:r>
      <w:r w:rsidR="0091347C">
        <w:t>’s existing</w:t>
      </w:r>
      <w:r w:rsidR="001A7E25">
        <w:t xml:space="preserve"> benefits programs.</w:t>
      </w:r>
      <w:r w:rsidR="00157BEB">
        <w:t xml:space="preserve"> </w:t>
      </w:r>
      <w:r w:rsidR="0091347C">
        <w:t xml:space="preserve"> </w:t>
      </w:r>
    </w:p>
    <w:p w14:paraId="76A3BA05" w14:textId="77777777" w:rsidR="00C739DA" w:rsidRDefault="00C739DA" w:rsidP="00C739DA">
      <w:pPr>
        <w:pStyle w:val="ListParagraph"/>
      </w:pPr>
    </w:p>
    <w:p w14:paraId="02243613" w14:textId="77777777" w:rsidR="006E7EA2" w:rsidRDefault="008D5085" w:rsidP="006E7EA2">
      <w:pPr>
        <w:pStyle w:val="ListParagraph"/>
        <w:numPr>
          <w:ilvl w:val="0"/>
          <w:numId w:val="25"/>
        </w:numPr>
      </w:pPr>
      <w:r w:rsidRPr="009F4394">
        <w:rPr>
          <w:u w:val="single"/>
        </w:rPr>
        <w:t>Obligations with Respect to Employees</w:t>
      </w:r>
      <w:r>
        <w:t xml:space="preserve">.  </w:t>
      </w:r>
      <w:r w:rsidR="0004458A">
        <w:t>Center</w:t>
      </w:r>
      <w:r w:rsidR="006B1111">
        <w:t xml:space="preserve"> </w:t>
      </w:r>
      <w:r>
        <w:t>shall have all day-to-day authority and responsibility to establish the Employees’ hours of work and job duties and otherwise to direct and control the Empl</w:t>
      </w:r>
      <w:r w:rsidR="00623753">
        <w:t xml:space="preserve">oyees in the performance of </w:t>
      </w:r>
      <w:r w:rsidR="0004458A">
        <w:t>Center’s</w:t>
      </w:r>
      <w:r w:rsidR="00623753">
        <w:t xml:space="preserve"> activitie</w:t>
      </w:r>
      <w:r>
        <w:t xml:space="preserve">s. </w:t>
      </w:r>
      <w:r w:rsidR="00C36E63">
        <w:t xml:space="preserve"> </w:t>
      </w:r>
      <w:r w:rsidR="0004458A">
        <w:t>Center</w:t>
      </w:r>
      <w:r w:rsidR="00687785">
        <w:t xml:space="preserve"> </w:t>
      </w:r>
      <w:r w:rsidR="00C36E63">
        <w:t xml:space="preserve">also </w:t>
      </w:r>
      <w:r>
        <w:t>shall be responsible for any supervision, evaluation, counseling, and discipline of the Employees with resp</w:t>
      </w:r>
      <w:r w:rsidR="00687785">
        <w:t xml:space="preserve">ect to their performance of </w:t>
      </w:r>
      <w:r w:rsidR="0004458A">
        <w:t>Center</w:t>
      </w:r>
      <w:r w:rsidR="00687785">
        <w:t xml:space="preserve"> activities</w:t>
      </w:r>
      <w:r>
        <w:t xml:space="preserve">.  </w:t>
      </w:r>
      <w:r w:rsidR="004845D1">
        <w:t>EH</w:t>
      </w:r>
      <w:r>
        <w:t xml:space="preserve"> shall be </w:t>
      </w:r>
      <w:r>
        <w:lastRenderedPageBreak/>
        <w:t xml:space="preserve">responsible for compliance with all laws governing workplace safety and all other matters with respect to the Employees for which it is responsible under this Agreement. </w:t>
      </w:r>
      <w:r w:rsidR="00C36E63">
        <w:t xml:space="preserve"> </w:t>
      </w:r>
      <w:r w:rsidR="004845D1">
        <w:t>EH</w:t>
      </w:r>
      <w:r>
        <w:t xml:space="preserve"> </w:t>
      </w:r>
      <w:r w:rsidR="00C625E7">
        <w:t xml:space="preserve">also </w:t>
      </w:r>
      <w:r>
        <w:t>shall be responsible for payment of the Employees’ salary, employee benefits</w:t>
      </w:r>
      <w:r w:rsidR="006E7EA2">
        <w:t xml:space="preserve"> (including group health plan, tuition reimbursement for those who participate in certain covered educational activities, and </w:t>
      </w:r>
      <w:r w:rsidR="0004458A">
        <w:t xml:space="preserve">retirement </w:t>
      </w:r>
      <w:r w:rsidR="006E7EA2">
        <w:t xml:space="preserve">benefits available to </w:t>
      </w:r>
      <w:r w:rsidR="004845D1">
        <w:t>EH</w:t>
      </w:r>
      <w:r w:rsidR="0004458A">
        <w:t xml:space="preserve"> employees</w:t>
      </w:r>
      <w:r w:rsidR="006E7EA2">
        <w:t>)</w:t>
      </w:r>
      <w:r>
        <w:t>, workers’ compensation, disability, illness or sickness benefits, Social Security obligations, and other employee-related benefits</w:t>
      </w:r>
      <w:r w:rsidR="002E3B77">
        <w:t xml:space="preserve">, which shall be reimbursed by </w:t>
      </w:r>
      <w:r w:rsidR="0004458A">
        <w:t>Center</w:t>
      </w:r>
      <w:r>
        <w:t xml:space="preserve">. </w:t>
      </w:r>
      <w:r w:rsidR="00C36E63">
        <w:t xml:space="preserve"> </w:t>
      </w:r>
      <w:r w:rsidR="0004458A">
        <w:t xml:space="preserve">EH shall be responsible to deduct and remit to the proper taxing authority all local, state and federal taxes required of an employer. </w:t>
      </w:r>
      <w:r w:rsidR="00BD7F48">
        <w:t>EH will provide Center access to EH’s electronic timekeeping system, and Center agrees to utilize the system for purposes of accurately recording hours worked and other information required to process payr</w:t>
      </w:r>
      <w:r w:rsidR="00DF5F4F">
        <w:t>oll for Center’s Employees. Cent</w:t>
      </w:r>
      <w:r w:rsidR="00BD7F48">
        <w:t>er shall be responsible for any shortages or overages on Employees’ checks</w:t>
      </w:r>
      <w:r w:rsidR="00DF5F4F">
        <w:t xml:space="preserve"> that are the result of Center’s errors</w:t>
      </w:r>
      <w:r w:rsidR="00BD7F48">
        <w:t xml:space="preserve">. Center agrees to abide by EH’s timekeeping and payroll practices. </w:t>
      </w:r>
      <w:r w:rsidR="0004458A">
        <w:t>Center</w:t>
      </w:r>
      <w:r w:rsidR="00C36E63" w:rsidRPr="007D31E9">
        <w:t xml:space="preserve"> shall have the sole authority to</w:t>
      </w:r>
      <w:r w:rsidR="00157BEB">
        <w:t xml:space="preserve"> make decisions to</w:t>
      </w:r>
      <w:r w:rsidR="00C36E63" w:rsidRPr="007D31E9">
        <w:t xml:space="preserve"> continue or terminate the Employees</w:t>
      </w:r>
      <w:r w:rsidR="00C36E63">
        <w:t>’</w:t>
      </w:r>
      <w:r w:rsidR="00157BEB">
        <w:t xml:space="preserve"> employment</w:t>
      </w:r>
      <w:r w:rsidR="002E3B77">
        <w:t xml:space="preserve"> and </w:t>
      </w:r>
      <w:r w:rsidR="00157BEB">
        <w:t xml:space="preserve">shall inform </w:t>
      </w:r>
      <w:r w:rsidR="004845D1">
        <w:t>EH</w:t>
      </w:r>
      <w:r w:rsidR="00C36E63">
        <w:t xml:space="preserve">’s </w:t>
      </w:r>
      <w:r w:rsidR="00690116">
        <w:t>Vice President of Human Resources</w:t>
      </w:r>
      <w:r w:rsidR="00157BEB">
        <w:t xml:space="preserve"> of such decisions</w:t>
      </w:r>
      <w:r w:rsidR="002E3B77">
        <w:t xml:space="preserve"> so that they can be effectuated</w:t>
      </w:r>
      <w:r w:rsidR="00C36E63">
        <w:t xml:space="preserve">.  </w:t>
      </w:r>
      <w:r w:rsidR="0004458A">
        <w:t>Center</w:t>
      </w:r>
      <w:r w:rsidR="00157BEB">
        <w:t xml:space="preserve"> will determine the number of full-time Employees that are required to conduct the activities of </w:t>
      </w:r>
      <w:r w:rsidR="0004458A">
        <w:t>Center</w:t>
      </w:r>
      <w:r w:rsidR="00157BEB">
        <w:t xml:space="preserve">.  </w:t>
      </w:r>
      <w:r w:rsidR="00C36E63">
        <w:t xml:space="preserve">When </w:t>
      </w:r>
      <w:r w:rsidR="0004458A">
        <w:t>Center</w:t>
      </w:r>
      <w:r w:rsidR="00C36E63">
        <w:t xml:space="preserve"> desires to hire a new Employee, </w:t>
      </w:r>
      <w:r w:rsidR="0004458A">
        <w:t>Center</w:t>
      </w:r>
      <w:r w:rsidR="00C36E63">
        <w:t xml:space="preserve"> shall inform </w:t>
      </w:r>
      <w:r w:rsidR="004845D1">
        <w:t>EH</w:t>
      </w:r>
      <w:r w:rsidR="00C36E63">
        <w:t xml:space="preserve"> of same so that the job posting procedure may be commenced</w:t>
      </w:r>
      <w:r w:rsidR="00DB7F39">
        <w:t xml:space="preserve">, and </w:t>
      </w:r>
      <w:r w:rsidR="0004458A">
        <w:t>Center</w:t>
      </w:r>
      <w:r w:rsidR="00DB7F39">
        <w:t xml:space="preserve"> shall have the freedom to select the candidate who will be performing </w:t>
      </w:r>
      <w:r w:rsidR="0004458A">
        <w:t>Center</w:t>
      </w:r>
      <w:r w:rsidR="00DB7F39">
        <w:t xml:space="preserve"> activities</w:t>
      </w:r>
      <w:r w:rsidR="0004458A">
        <w:t>, provided the applicant meets all applicable requirements for EH employees</w:t>
      </w:r>
      <w:r w:rsidR="00C36E63">
        <w:t xml:space="preserve">.  Moreover, notwithstanding the fact that the Employees are technically the legal employees of </w:t>
      </w:r>
      <w:r w:rsidR="00A6021A">
        <w:t>HHC</w:t>
      </w:r>
      <w:r w:rsidR="00C36E63">
        <w:t>, the following shall apply: (</w:t>
      </w:r>
      <w:proofErr w:type="spellStart"/>
      <w:r w:rsidR="00C36E63">
        <w:t>i</w:t>
      </w:r>
      <w:proofErr w:type="spellEnd"/>
      <w:r w:rsidR="00C36E63">
        <w:t xml:space="preserve">) </w:t>
      </w:r>
      <w:r w:rsidR="005659B5">
        <w:t xml:space="preserve">the Employees </w:t>
      </w:r>
      <w:r w:rsidR="00C36E63">
        <w:t xml:space="preserve">shall have a fiduciary duty to </w:t>
      </w:r>
      <w:r w:rsidR="0004458A">
        <w:t>Center</w:t>
      </w:r>
      <w:r w:rsidR="00C36E63">
        <w:t>; and (i</w:t>
      </w:r>
      <w:r w:rsidR="005659B5">
        <w:t>i) the</w:t>
      </w:r>
      <w:r w:rsidR="00C36E63">
        <w:t xml:space="preserve"> Employee</w:t>
      </w:r>
      <w:r w:rsidR="005659B5">
        <w:t xml:space="preserve">s shall be supervised by </w:t>
      </w:r>
      <w:r w:rsidR="0004458A">
        <w:t>Center</w:t>
      </w:r>
      <w:r w:rsidR="005659B5">
        <w:t>’s</w:t>
      </w:r>
      <w:r w:rsidR="00C36E63">
        <w:t xml:space="preserve"> </w:t>
      </w:r>
      <w:r w:rsidR="00DF5F4F">
        <w:t>President and</w:t>
      </w:r>
      <w:r w:rsidR="005659B5">
        <w:t xml:space="preserve"> CEO or his</w:t>
      </w:r>
      <w:r w:rsidR="0092035C">
        <w:t>/her</w:t>
      </w:r>
      <w:r w:rsidR="005659B5">
        <w:t xml:space="preserve"> </w:t>
      </w:r>
      <w:r w:rsidR="00C36E63">
        <w:t>designee</w:t>
      </w:r>
      <w:r w:rsidR="005659B5">
        <w:t xml:space="preserve">. </w:t>
      </w:r>
    </w:p>
    <w:p w14:paraId="423B2BE0" w14:textId="77777777" w:rsidR="00C739DA" w:rsidRPr="00C739DA" w:rsidRDefault="00C739DA" w:rsidP="00C739DA">
      <w:pPr>
        <w:pStyle w:val="ListParagraph"/>
      </w:pPr>
    </w:p>
    <w:p w14:paraId="730F1A53" w14:textId="77777777" w:rsidR="0004458A" w:rsidRPr="0004458A" w:rsidRDefault="0004458A" w:rsidP="007E34B6">
      <w:pPr>
        <w:pStyle w:val="ListParagraph"/>
        <w:numPr>
          <w:ilvl w:val="0"/>
          <w:numId w:val="25"/>
        </w:numPr>
        <w:rPr>
          <w:u w:val="single"/>
        </w:rPr>
      </w:pPr>
      <w:r w:rsidRPr="0004458A">
        <w:rPr>
          <w:u w:val="single"/>
        </w:rPr>
        <w:t>FFC’s President and Chief Executive Officer</w:t>
      </w:r>
      <w:r>
        <w:rPr>
          <w:u w:val="single"/>
        </w:rPr>
        <w:t xml:space="preserve">. </w:t>
      </w:r>
      <w:r>
        <w:t>Center’s Board of Directors shall have total responsibility and authority with regard to hiring, retaining, evaluating, and discharging, and to all other aspects of employment of, the Center’s President and Chief Executive Officer.</w:t>
      </w:r>
      <w:r w:rsidR="00DF5F4F">
        <w:t xml:space="preserve"> The Center’s President and Chief Executive Officer must meet all applicable requirements for EH employees.</w:t>
      </w:r>
      <w:r>
        <w:t xml:space="preserve"> </w:t>
      </w:r>
    </w:p>
    <w:p w14:paraId="2571CCDA" w14:textId="77777777" w:rsidR="0004458A" w:rsidRPr="0004458A" w:rsidRDefault="0004458A" w:rsidP="0004458A">
      <w:pPr>
        <w:pStyle w:val="ListParagraph"/>
        <w:rPr>
          <w:u w:val="single"/>
        </w:rPr>
      </w:pPr>
    </w:p>
    <w:p w14:paraId="19CC93DA" w14:textId="77777777" w:rsidR="007E34B6" w:rsidRDefault="007E34B6" w:rsidP="007E34B6">
      <w:pPr>
        <w:pStyle w:val="ListParagraph"/>
        <w:numPr>
          <w:ilvl w:val="0"/>
          <w:numId w:val="25"/>
        </w:numPr>
      </w:pPr>
      <w:r>
        <w:rPr>
          <w:u w:val="single"/>
        </w:rPr>
        <w:t>Timing and Payment of Reimbursements</w:t>
      </w:r>
      <w:r>
        <w:t xml:space="preserve">.  </w:t>
      </w:r>
      <w:r w:rsidR="0004458A">
        <w:t>Center</w:t>
      </w:r>
      <w:r w:rsidR="004C4E8B">
        <w:t xml:space="preserve"> shall reimburse </w:t>
      </w:r>
      <w:r w:rsidR="004845D1">
        <w:t>EH</w:t>
      </w:r>
      <w:r w:rsidR="004C4E8B">
        <w:t xml:space="preserve"> for the c</w:t>
      </w:r>
      <w:r w:rsidR="00A6021A">
        <w:t xml:space="preserve">ost of the Employees’ salaries </w:t>
      </w:r>
      <w:r w:rsidR="004C4E8B">
        <w:t xml:space="preserve">and </w:t>
      </w:r>
      <w:r w:rsidR="00A6021A">
        <w:t xml:space="preserve">any and all </w:t>
      </w:r>
      <w:r w:rsidR="004C4E8B">
        <w:t xml:space="preserve">benefits </w:t>
      </w:r>
      <w:r w:rsidR="00A6021A">
        <w:t xml:space="preserve">provided to the Employees within thirty (30) days of its receipt of </w:t>
      </w:r>
      <w:r w:rsidR="00AC2CD6">
        <w:t xml:space="preserve">the monthly </w:t>
      </w:r>
      <w:r w:rsidR="00A6021A">
        <w:t>invoice pre</w:t>
      </w:r>
      <w:r w:rsidR="00AC2CD6">
        <w:t>pared by EH</w:t>
      </w:r>
      <w:r w:rsidR="00DF5F4F">
        <w:t>’s</w:t>
      </w:r>
      <w:r w:rsidR="00AC2CD6">
        <w:t xml:space="preserve"> Finance Depar</w:t>
      </w:r>
      <w:r w:rsidR="0092035C">
        <w:t xml:space="preserve">tment. </w:t>
      </w:r>
      <w:r w:rsidR="0065436D">
        <w:t xml:space="preserve">Center agrees to submit payroll information before 10:30 a.m. three banking days prior to check date. </w:t>
      </w:r>
    </w:p>
    <w:p w14:paraId="5850BEB4" w14:textId="77777777" w:rsidR="007E34B6" w:rsidRPr="007E34B6" w:rsidRDefault="007E34B6" w:rsidP="007E34B6">
      <w:pPr>
        <w:pStyle w:val="ListParagraph"/>
      </w:pPr>
    </w:p>
    <w:p w14:paraId="2CB0D52F" w14:textId="77777777" w:rsidR="001874BB" w:rsidRDefault="00DB7F39" w:rsidP="00BE0D30">
      <w:pPr>
        <w:pStyle w:val="ListParagraph"/>
        <w:numPr>
          <w:ilvl w:val="0"/>
          <w:numId w:val="25"/>
        </w:numPr>
      </w:pPr>
      <w:r w:rsidRPr="00DB7F39">
        <w:rPr>
          <w:u w:val="single"/>
        </w:rPr>
        <w:t>Information Technology</w:t>
      </w:r>
      <w:r>
        <w:t xml:space="preserve">.  </w:t>
      </w:r>
      <w:r w:rsidR="004845D1">
        <w:t>EH</w:t>
      </w:r>
      <w:r w:rsidR="00DF5F4F">
        <w:t xml:space="preserve"> shall </w:t>
      </w:r>
      <w:r w:rsidR="004C4E8B">
        <w:t xml:space="preserve">provide space on its server for </w:t>
      </w:r>
      <w:r w:rsidR="00DF5F4F">
        <w:t>Center</w:t>
      </w:r>
      <w:r w:rsidR="004C4E8B">
        <w:t xml:space="preserve">’s </w:t>
      </w:r>
      <w:r w:rsidR="00FC464B">
        <w:t xml:space="preserve">emails and electronic documents at no charge.  </w:t>
      </w:r>
      <w:r w:rsidR="004845D1">
        <w:t>EH</w:t>
      </w:r>
      <w:r w:rsidR="00FC464B">
        <w:t xml:space="preserve"> doe</w:t>
      </w:r>
      <w:r w:rsidR="00DF5F4F">
        <w:t>s not own or control Center</w:t>
      </w:r>
      <w:r w:rsidR="00FC464B">
        <w:t xml:space="preserve">’s emails or documents, and these items remain the sole property of </w:t>
      </w:r>
      <w:r w:rsidR="00DF5F4F">
        <w:t>Center</w:t>
      </w:r>
      <w:r w:rsidR="00FC464B">
        <w:t xml:space="preserve">.  </w:t>
      </w:r>
      <w:r w:rsidR="00DF5F4F">
        <w:t>Center</w:t>
      </w:r>
      <w:r w:rsidR="00FC464B">
        <w:t xml:space="preserve"> shall retain its own distinct naming conventions (e.g.,</w:t>
      </w:r>
      <w:r w:rsidR="00DF5F4F">
        <w:t xml:space="preserve"> www.fatherresource.org</w:t>
      </w:r>
      <w:r w:rsidR="00FC464B">
        <w:t xml:space="preserve">).  </w:t>
      </w:r>
    </w:p>
    <w:p w14:paraId="16EF4518" w14:textId="77777777" w:rsidR="004C4E8B" w:rsidRDefault="004C4E8B" w:rsidP="004C4E8B">
      <w:pPr>
        <w:pStyle w:val="ListParagraph"/>
      </w:pPr>
    </w:p>
    <w:p w14:paraId="743A5519" w14:textId="77777777" w:rsidR="00161238" w:rsidRDefault="004C4E8B" w:rsidP="00161238">
      <w:pPr>
        <w:pStyle w:val="ListParagraph"/>
        <w:numPr>
          <w:ilvl w:val="0"/>
          <w:numId w:val="25"/>
        </w:numPr>
      </w:pPr>
      <w:r>
        <w:rPr>
          <w:u w:val="single"/>
        </w:rPr>
        <w:t>Internal Policies</w:t>
      </w:r>
      <w:r>
        <w:t xml:space="preserve">.  </w:t>
      </w:r>
      <w:r w:rsidR="00BD7F48">
        <w:t xml:space="preserve">Generally, the Parties agree that Center will adopt and follow the policies of EH. </w:t>
      </w:r>
      <w:r>
        <w:t>The Parties recognize</w:t>
      </w:r>
      <w:r w:rsidR="00BD7F48">
        <w:t>, however,</w:t>
      </w:r>
      <w:r>
        <w:t xml:space="preserve"> that </w:t>
      </w:r>
      <w:r w:rsidR="00BD7F48">
        <w:t>in some situations the Center</w:t>
      </w:r>
      <w:r>
        <w:t xml:space="preserve"> and </w:t>
      </w:r>
      <w:r w:rsidR="004845D1">
        <w:t>EH</w:t>
      </w:r>
      <w:r>
        <w:t xml:space="preserve"> </w:t>
      </w:r>
      <w:r w:rsidR="00BD7F48">
        <w:t xml:space="preserve">may </w:t>
      </w:r>
      <w:r>
        <w:t>have their own separate policies with respect to certain mat</w:t>
      </w:r>
      <w:r w:rsidR="0092035C">
        <w:t>ters (e.g., Professional Image Policy</w:t>
      </w:r>
      <w:r w:rsidR="00BD7F48">
        <w:t xml:space="preserve">).  </w:t>
      </w:r>
      <w:r w:rsidR="00AC2CD6">
        <w:t xml:space="preserve">The </w:t>
      </w:r>
      <w:r w:rsidR="00BD7F48">
        <w:t xml:space="preserve">Center’s </w:t>
      </w:r>
      <w:r w:rsidR="00AC2CD6">
        <w:t xml:space="preserve">Board of Directors </w:t>
      </w:r>
      <w:r w:rsidR="002E3B77">
        <w:t xml:space="preserve">shall determine </w:t>
      </w:r>
      <w:r w:rsidR="00BD7F48">
        <w:t xml:space="preserve">which </w:t>
      </w:r>
      <w:r w:rsidR="00BD7F48">
        <w:lastRenderedPageBreak/>
        <w:t xml:space="preserve">policies need to differ from </w:t>
      </w:r>
      <w:r w:rsidR="00AC2CD6">
        <w:t xml:space="preserve">EH </w:t>
      </w:r>
      <w:r>
        <w:t>policies</w:t>
      </w:r>
      <w:r w:rsidR="00BD7F48">
        <w:t>, and prior to implementation, shall share such policies with EH’s Vice President of Human Resources for review and feedback. Center understands that</w:t>
      </w:r>
      <w:r w:rsidR="00AC2CD6">
        <w:t xml:space="preserve"> </w:t>
      </w:r>
      <w:r w:rsidR="00BD7F48">
        <w:t xml:space="preserve">certain policies (e.g., </w:t>
      </w:r>
      <w:r w:rsidR="00DB6775">
        <w:t>annual flu</w:t>
      </w:r>
      <w:r w:rsidR="004F0099">
        <w:t xml:space="preserve"> shot, </w:t>
      </w:r>
      <w:r w:rsidR="00BD7F48">
        <w:t xml:space="preserve">EH’s </w:t>
      </w:r>
      <w:r w:rsidR="00DB6775">
        <w:t>annual continuing education requirem</w:t>
      </w:r>
      <w:r w:rsidR="00D212F2">
        <w:t>ents) may not be modified</w:t>
      </w:r>
      <w:r w:rsidR="00DB6775">
        <w:t>.</w:t>
      </w:r>
    </w:p>
    <w:p w14:paraId="7CDFA6CD" w14:textId="77777777" w:rsidR="00161238" w:rsidRPr="00161238" w:rsidRDefault="00161238" w:rsidP="00161238">
      <w:pPr>
        <w:pStyle w:val="ListParagraph"/>
        <w:rPr>
          <w:u w:val="single"/>
        </w:rPr>
      </w:pPr>
    </w:p>
    <w:p w14:paraId="2B0EF717" w14:textId="77777777" w:rsidR="00161238" w:rsidRPr="00161238" w:rsidRDefault="00161238" w:rsidP="00161238">
      <w:pPr>
        <w:pStyle w:val="ListParagraph"/>
        <w:numPr>
          <w:ilvl w:val="0"/>
          <w:numId w:val="25"/>
        </w:numPr>
      </w:pPr>
      <w:r w:rsidRPr="00161238">
        <w:rPr>
          <w:u w:val="single"/>
        </w:rPr>
        <w:t>Compliance with Laws</w:t>
      </w:r>
      <w:r>
        <w:t xml:space="preserve">. </w:t>
      </w:r>
      <w:r w:rsidRPr="00161238">
        <w:rPr>
          <w:rFonts w:cs="Times New Roman"/>
          <w:szCs w:val="24"/>
        </w:rPr>
        <w:t xml:space="preserve">With respect to all matters relating to Employees and to </w:t>
      </w:r>
      <w:r>
        <w:rPr>
          <w:rFonts w:cs="Times New Roman"/>
          <w:szCs w:val="24"/>
        </w:rPr>
        <w:t xml:space="preserve">Center’s operations, </w:t>
      </w:r>
      <w:r w:rsidRPr="00161238">
        <w:rPr>
          <w:rFonts w:cs="Times New Roman"/>
          <w:szCs w:val="24"/>
        </w:rPr>
        <w:t xml:space="preserve">Center shall comply fully at the Center’s sole expense with all </w:t>
      </w:r>
      <w:r>
        <w:rPr>
          <w:rFonts w:cs="Times New Roman"/>
          <w:szCs w:val="24"/>
        </w:rPr>
        <w:t xml:space="preserve">applicable </w:t>
      </w:r>
      <w:r w:rsidRPr="00161238">
        <w:rPr>
          <w:rFonts w:cs="Times New Roman"/>
          <w:szCs w:val="24"/>
        </w:rPr>
        <w:t xml:space="preserve">local, state and federal laws, regulations, and ordinances (collectively, “laws”), including without limitation all </w:t>
      </w:r>
      <w:r>
        <w:rPr>
          <w:rFonts w:cs="Times New Roman"/>
          <w:szCs w:val="24"/>
        </w:rPr>
        <w:t xml:space="preserve">labor and employment </w:t>
      </w:r>
      <w:r w:rsidRPr="00161238">
        <w:rPr>
          <w:rFonts w:cs="Times New Roman"/>
          <w:szCs w:val="24"/>
        </w:rPr>
        <w:t>laws</w:t>
      </w:r>
      <w:r>
        <w:rPr>
          <w:rFonts w:cs="Times New Roman"/>
          <w:szCs w:val="24"/>
        </w:rPr>
        <w:t>, health and safety laws,</w:t>
      </w:r>
      <w:r w:rsidRPr="00161238">
        <w:rPr>
          <w:rFonts w:cs="Times New Roman"/>
          <w:szCs w:val="24"/>
        </w:rPr>
        <w:t xml:space="preserve"> and environmental, pollution and hazardous substances matters.</w:t>
      </w:r>
      <w:r w:rsidR="00DF5F4F" w:rsidRPr="00DF5F4F">
        <w:rPr>
          <w:rFonts w:cs="Times New Roman"/>
        </w:rPr>
        <w:t xml:space="preserve"> </w:t>
      </w:r>
      <w:r w:rsidR="00DF5F4F" w:rsidRPr="00161238">
        <w:rPr>
          <w:rFonts w:cs="Times New Roman"/>
        </w:rPr>
        <w:t>The Center shall, at its sole expense, furnish to Employees all personal protective equipment and training to the extent necessary for the health and safety of the Employees or otherwise as may be required under any local, state or federal law, regulation or ordinance</w:t>
      </w:r>
      <w:r w:rsidR="00DF5F4F">
        <w:rPr>
          <w:rFonts w:cs="Times New Roman"/>
          <w:szCs w:val="24"/>
        </w:rPr>
        <w:t xml:space="preserve">. </w:t>
      </w:r>
      <w:r w:rsidR="00DF5F4F" w:rsidRPr="00161238">
        <w:rPr>
          <w:rFonts w:cs="Times New Roman"/>
          <w:szCs w:val="24"/>
        </w:rPr>
        <w:t xml:space="preserve">The Center shall </w:t>
      </w:r>
      <w:r w:rsidR="00DF5F4F">
        <w:rPr>
          <w:rFonts w:cs="Times New Roman"/>
          <w:szCs w:val="24"/>
        </w:rPr>
        <w:t xml:space="preserve">comply with EH’s policies regarding reporting </w:t>
      </w:r>
      <w:r w:rsidR="00DF5F4F" w:rsidRPr="00161238">
        <w:rPr>
          <w:rFonts w:cs="Times New Roman"/>
          <w:szCs w:val="24"/>
        </w:rPr>
        <w:t xml:space="preserve">all </w:t>
      </w:r>
      <w:r w:rsidR="00DF5F4F">
        <w:rPr>
          <w:rFonts w:cs="Times New Roman"/>
          <w:szCs w:val="24"/>
        </w:rPr>
        <w:t xml:space="preserve">work related </w:t>
      </w:r>
      <w:r w:rsidR="00DF5F4F" w:rsidRPr="00161238">
        <w:rPr>
          <w:rFonts w:cs="Times New Roman"/>
          <w:szCs w:val="24"/>
        </w:rPr>
        <w:t>accidents and injuries</w:t>
      </w:r>
      <w:r w:rsidR="00DF5F4F">
        <w:rPr>
          <w:rFonts w:cs="Times New Roman"/>
          <w:szCs w:val="24"/>
        </w:rPr>
        <w:t>.</w:t>
      </w:r>
      <w:r w:rsidR="00DF5F4F" w:rsidRPr="00161238">
        <w:rPr>
          <w:rFonts w:cs="Times New Roman"/>
          <w:szCs w:val="24"/>
        </w:rPr>
        <w:t xml:space="preserve">  </w:t>
      </w:r>
    </w:p>
    <w:p w14:paraId="782A077E" w14:textId="77777777" w:rsidR="00161238" w:rsidRPr="00161238" w:rsidRDefault="00161238" w:rsidP="00161238">
      <w:pPr>
        <w:pStyle w:val="ListParagraph"/>
        <w:rPr>
          <w:u w:val="single"/>
        </w:rPr>
      </w:pPr>
    </w:p>
    <w:p w14:paraId="7F6E5A51" w14:textId="77777777" w:rsidR="00442913" w:rsidRPr="00442913" w:rsidRDefault="00161238" w:rsidP="00442913">
      <w:pPr>
        <w:pStyle w:val="ListParagraph"/>
        <w:numPr>
          <w:ilvl w:val="0"/>
          <w:numId w:val="25"/>
        </w:numPr>
      </w:pPr>
      <w:r w:rsidRPr="00161238">
        <w:rPr>
          <w:u w:val="single"/>
        </w:rPr>
        <w:t>Center’s Representations</w:t>
      </w:r>
      <w:r>
        <w:t xml:space="preserve">. </w:t>
      </w:r>
      <w:r w:rsidRPr="00161238">
        <w:rPr>
          <w:rFonts w:cs="Times New Roman"/>
        </w:rPr>
        <w:t>The Center represents and warrants that there are no pending, threatened or anticipated governmental investigations, inspections or audits or any claim, demand or lawsuit related to the Center’s Employees, the working conditions with respect to the Employees, the services provided by the Center, or any other matters that may or could affect the performance of the obligations or liability of EH under this Service Agreement. . The Center shall notify EH immediately of any change in the facts represented in this Section</w:t>
      </w:r>
      <w:r w:rsidR="00442913">
        <w:rPr>
          <w:rFonts w:cs="Times New Roman"/>
        </w:rPr>
        <w:t>.</w:t>
      </w:r>
    </w:p>
    <w:p w14:paraId="478BC4D8" w14:textId="77777777" w:rsidR="00442913" w:rsidRPr="00442913" w:rsidRDefault="00442913" w:rsidP="00442913">
      <w:pPr>
        <w:pStyle w:val="ListParagraph"/>
        <w:rPr>
          <w:u w:val="single"/>
        </w:rPr>
      </w:pPr>
    </w:p>
    <w:p w14:paraId="580B7034" w14:textId="77777777" w:rsidR="00C06F46" w:rsidRDefault="00C06F46" w:rsidP="00C06F46">
      <w:pPr>
        <w:pStyle w:val="ListParagraph"/>
        <w:numPr>
          <w:ilvl w:val="0"/>
          <w:numId w:val="25"/>
        </w:numPr>
      </w:pPr>
      <w:r w:rsidRPr="00C06F46">
        <w:rPr>
          <w:u w:val="single"/>
        </w:rPr>
        <w:t>Indemnification</w:t>
      </w:r>
      <w:r w:rsidR="00442913">
        <w:t xml:space="preserve">. </w:t>
      </w:r>
      <w:r>
        <w:t>EH will defend, indemnify, and hold harmless Center, its directors, officers, employees, and agents, from and against any claim, liability, loss or expense (including without limitation, attorneys’ fees), arising directly or indirectly out of any act, failure to act, or willful misconduct by EH, its directors, officers, emp</w:t>
      </w:r>
      <w:r w:rsidR="002F1C57">
        <w:t>loyees, or agen</w:t>
      </w:r>
      <w:r>
        <w:t>ts in the performance of this Agreement. EH’s obligations to indemnify and hold harmless Center will be limited by applicable statutes designed to protect and limit the</w:t>
      </w:r>
      <w:r w:rsidR="002F1C57">
        <w:t xml:space="preserve"> e</w:t>
      </w:r>
      <w:r>
        <w:t xml:space="preserve">xposure of EH, including, without limitation, the Indiana </w:t>
      </w:r>
      <w:r w:rsidR="002F1C57">
        <w:t xml:space="preserve">Tort Claims Act </w:t>
      </w:r>
      <w:r w:rsidR="004F0099">
        <w:t>and the Indiana M</w:t>
      </w:r>
      <w:r>
        <w:t xml:space="preserve">edical Malpractice Act. </w:t>
      </w:r>
    </w:p>
    <w:p w14:paraId="49DC5DA5" w14:textId="77777777" w:rsidR="002F1C57" w:rsidRDefault="002F1C57" w:rsidP="002F1C57">
      <w:pPr>
        <w:pStyle w:val="ListParagraph"/>
      </w:pPr>
    </w:p>
    <w:p w14:paraId="26016C38" w14:textId="77777777" w:rsidR="002F1C57" w:rsidRDefault="002F1C57" w:rsidP="002F1C57">
      <w:pPr>
        <w:pStyle w:val="ListParagraph"/>
      </w:pPr>
      <w:r>
        <w:t>Center will defend, indemnify, and hold harmless EH, its directors, officers, employees, and agents, from and against any claim, liability, loss or expense (including without limitation, attorneys’ fees), arising directly or indirectly out of any act, failure to act, or willful misconduct by Center, its directors, officers, employees, or agents in the performance of this Agreement.</w:t>
      </w:r>
    </w:p>
    <w:p w14:paraId="1FA15BB0" w14:textId="77777777" w:rsidR="00C06F46" w:rsidRDefault="00C06F46" w:rsidP="00C06F46">
      <w:pPr>
        <w:pStyle w:val="ListParagraph"/>
      </w:pPr>
    </w:p>
    <w:p w14:paraId="0C474363" w14:textId="77777777" w:rsidR="00442913" w:rsidRPr="00442913" w:rsidRDefault="00442913" w:rsidP="00442913">
      <w:pPr>
        <w:pStyle w:val="ListParagraph"/>
        <w:numPr>
          <w:ilvl w:val="0"/>
          <w:numId w:val="25"/>
        </w:numPr>
      </w:pPr>
      <w:r w:rsidRPr="00442913">
        <w:rPr>
          <w:u w:val="single"/>
        </w:rPr>
        <w:t>Insurance</w:t>
      </w:r>
      <w:r>
        <w:t>. Each party agrees to</w:t>
      </w:r>
      <w:r w:rsidR="00C06F46">
        <w:t xml:space="preserve"> purchase and maintain insurance from carriers licensed to do business in the State of Indiana. Such insurance will protect the Parties from claims that arise out of or result from the Parties’ performance under this Agreement, whether such performance is by the Party, or subcontractor, anyone directly or indirectly employed by the party or a subcontractor, or anyone for whose acts the Party or a subcontractor may be responsible. Required insurance include</w:t>
      </w:r>
      <w:r w:rsidR="00BB14BA">
        <w:t>s</w:t>
      </w:r>
      <w:r w:rsidR="00C06F46">
        <w:t xml:space="preserve"> General Liability</w:t>
      </w:r>
      <w:r w:rsidR="00BB14BA">
        <w:t>,</w:t>
      </w:r>
      <w:r w:rsidR="00C06F46">
        <w:t xml:space="preserve"> Automobile Liability</w:t>
      </w:r>
      <w:r w:rsidR="00BB14BA">
        <w:t xml:space="preserve"> (including owned &amp; non-owned), Business Property I</w:t>
      </w:r>
      <w:r w:rsidR="00C06F46">
        <w:t>nsurance</w:t>
      </w:r>
      <w:r w:rsidR="00BB14BA">
        <w:t xml:space="preserve">, Cyber Liability, Umbrella and a D&amp;O/EPLI policy. </w:t>
      </w:r>
      <w:r w:rsidR="00C06F46">
        <w:t xml:space="preserve">The Parties understand that a Party </w:t>
      </w:r>
      <w:r w:rsidR="00C06F46">
        <w:lastRenderedPageBreak/>
        <w:t xml:space="preserve">may meet these requirements through a program of self-insurance. The Parties agree they will not cause any insurance required </w:t>
      </w:r>
      <w:r w:rsidR="00BB14BA">
        <w:t>under this Agreement to be canc</w:t>
      </w:r>
      <w:r w:rsidR="00C06F46">
        <w:t>eled or permit any insurance to lapse during the term of this Agreement.</w:t>
      </w:r>
      <w:r>
        <w:t xml:space="preserve">  </w:t>
      </w:r>
    </w:p>
    <w:p w14:paraId="24F0D547" w14:textId="77777777" w:rsidR="00442913" w:rsidRDefault="00442913" w:rsidP="00442913">
      <w:pPr>
        <w:ind w:left="360"/>
      </w:pPr>
    </w:p>
    <w:p w14:paraId="4632D3FE" w14:textId="77777777" w:rsidR="00442913" w:rsidRPr="00442913" w:rsidRDefault="00442913" w:rsidP="00442913">
      <w:pPr>
        <w:pStyle w:val="ListParagraph"/>
      </w:pPr>
    </w:p>
    <w:p w14:paraId="26FB90E4" w14:textId="77777777" w:rsidR="001874BB" w:rsidRDefault="00DB7F39" w:rsidP="00DB7F39">
      <w:pPr>
        <w:pStyle w:val="ListParagraph"/>
        <w:numPr>
          <w:ilvl w:val="0"/>
          <w:numId w:val="25"/>
        </w:numPr>
      </w:pPr>
      <w:r w:rsidRPr="000D7E49">
        <w:rPr>
          <w:u w:val="single"/>
        </w:rPr>
        <w:t>Relational Matters</w:t>
      </w:r>
      <w:r>
        <w:t xml:space="preserve">.  </w:t>
      </w:r>
      <w:r w:rsidR="00104722">
        <w:t xml:space="preserve"> </w:t>
      </w:r>
      <w:r>
        <w:t>The Parties shall operate in collaboration with one another as pr</w:t>
      </w:r>
      <w:r w:rsidR="007E34B6">
        <w:t xml:space="preserve">ovided herein. </w:t>
      </w:r>
      <w:r w:rsidR="00DB6775">
        <w:t xml:space="preserve"> </w:t>
      </w:r>
      <w:r w:rsidR="007E34B6">
        <w:t xml:space="preserve">Nonetheless, </w:t>
      </w:r>
      <w:r w:rsidR="00D212F2">
        <w:t>Center</w:t>
      </w:r>
      <w:r>
        <w:t xml:space="preserve"> shall retain its separate corporate status and its tax-exempt status under Code section 501(c)(3). </w:t>
      </w:r>
      <w:r w:rsidR="00DB6775">
        <w:t xml:space="preserve"> </w:t>
      </w:r>
      <w:r w:rsidR="00D212F2">
        <w:t>Center</w:t>
      </w:r>
      <w:r w:rsidR="007E34B6">
        <w:t xml:space="preserve"> and </w:t>
      </w:r>
      <w:r w:rsidR="004845D1">
        <w:t>EH</w:t>
      </w:r>
      <w:r>
        <w:t xml:space="preserve"> shall continue to be governed by their own respective Boards.</w:t>
      </w:r>
    </w:p>
    <w:p w14:paraId="1BF23799" w14:textId="77777777" w:rsidR="001874BB" w:rsidRPr="001874BB" w:rsidRDefault="001874BB" w:rsidP="001874BB">
      <w:pPr>
        <w:pStyle w:val="ListParagraph"/>
        <w:rPr>
          <w:u w:val="single"/>
        </w:rPr>
      </w:pPr>
    </w:p>
    <w:p w14:paraId="364BA7F9" w14:textId="77777777" w:rsidR="00B0107C" w:rsidRDefault="00B0107C" w:rsidP="001874BB">
      <w:pPr>
        <w:pStyle w:val="ListParagraph"/>
        <w:numPr>
          <w:ilvl w:val="0"/>
          <w:numId w:val="25"/>
        </w:numPr>
      </w:pPr>
      <w:r>
        <w:rPr>
          <w:u w:val="single"/>
        </w:rPr>
        <w:t>Term and Termination</w:t>
      </w:r>
      <w:r>
        <w:t xml:space="preserve">.  This Agreement shall commence on the Effective Date and shall </w:t>
      </w:r>
      <w:r w:rsidRPr="00AC1E44">
        <w:t xml:space="preserve">continue </w:t>
      </w:r>
      <w:r w:rsidR="00D212F2">
        <w:t xml:space="preserve">until it is terminated by either party, in writing, upon 180 days’ notice. </w:t>
      </w:r>
    </w:p>
    <w:p w14:paraId="0F77C890" w14:textId="77777777" w:rsidR="00B0107C" w:rsidRPr="00B0107C" w:rsidRDefault="00B0107C" w:rsidP="00B0107C">
      <w:pPr>
        <w:pStyle w:val="ListParagraph"/>
      </w:pPr>
    </w:p>
    <w:p w14:paraId="0155EC45" w14:textId="77777777" w:rsidR="00AC081F" w:rsidRDefault="00623803" w:rsidP="007E34B6">
      <w:pPr>
        <w:pStyle w:val="ListParagraph"/>
        <w:keepNext/>
        <w:keepLines/>
        <w:numPr>
          <w:ilvl w:val="0"/>
          <w:numId w:val="25"/>
        </w:numPr>
      </w:pPr>
      <w:r w:rsidRPr="001874BB">
        <w:rPr>
          <w:u w:val="single"/>
        </w:rPr>
        <w:t>General Provisions</w:t>
      </w:r>
      <w:r>
        <w:t xml:space="preserve">. </w:t>
      </w:r>
    </w:p>
    <w:p w14:paraId="5855D022" w14:textId="77777777" w:rsidR="00AC081F" w:rsidRDefault="00AC081F" w:rsidP="007E34B6">
      <w:pPr>
        <w:keepNext/>
        <w:keepLines/>
      </w:pPr>
    </w:p>
    <w:p w14:paraId="6F1E839D" w14:textId="77777777" w:rsidR="00AC081F" w:rsidRDefault="00623803" w:rsidP="007E34B6">
      <w:pPr>
        <w:pStyle w:val="ListParagraph"/>
        <w:keepNext/>
        <w:keepLines/>
        <w:numPr>
          <w:ilvl w:val="0"/>
          <w:numId w:val="19"/>
        </w:numPr>
      </w:pPr>
      <w:r>
        <w:rPr>
          <w:u w:val="single"/>
        </w:rPr>
        <w:t>Relationship of Parties</w:t>
      </w:r>
      <w:r>
        <w:t xml:space="preserve">. It is understood and agreed by </w:t>
      </w:r>
      <w:r w:rsidR="009B6996">
        <w:t>Center</w:t>
      </w:r>
      <w:r w:rsidR="00154338">
        <w:t xml:space="preserve"> </w:t>
      </w:r>
      <w:r>
        <w:t xml:space="preserve">and </w:t>
      </w:r>
      <w:r w:rsidR="004845D1">
        <w:t>EH</w:t>
      </w:r>
      <w:r>
        <w:t xml:space="preserve"> that each Party is an independent contractor of the other, and that neither Party is an agent, employee, joint </w:t>
      </w:r>
      <w:proofErr w:type="spellStart"/>
      <w:r>
        <w:t>venturer</w:t>
      </w:r>
      <w:proofErr w:type="spellEnd"/>
      <w:r>
        <w:t>, or partner of the other.</w:t>
      </w:r>
      <w:r w:rsidR="00DB7F39">
        <w:t xml:space="preserve">  Neither of the Parties has, nor shall it hold itself out as having, any right, power, or authority to create any contract or obligation, expressed or implied, on behalf of, in the name of, or binding on the other Party unless the other Party shall consent thereto in writing.</w:t>
      </w:r>
    </w:p>
    <w:p w14:paraId="00AC0C7C" w14:textId="77777777" w:rsidR="00AC081F" w:rsidRDefault="00AC081F"/>
    <w:p w14:paraId="63679AA1" w14:textId="77777777" w:rsidR="00AC081F" w:rsidRDefault="00AC1E44">
      <w:pPr>
        <w:pStyle w:val="ListParagraph"/>
        <w:numPr>
          <w:ilvl w:val="0"/>
          <w:numId w:val="19"/>
        </w:numPr>
      </w:pPr>
      <w:r>
        <w:rPr>
          <w:u w:val="single"/>
        </w:rPr>
        <w:t>No Third-</w:t>
      </w:r>
      <w:r w:rsidR="00623803">
        <w:rPr>
          <w:u w:val="single"/>
        </w:rPr>
        <w:t>Party Beneficiary</w:t>
      </w:r>
      <w:r w:rsidR="00623803">
        <w:t>. This Agreement is made and entered into for the sole and exclusive benefit of the Parties hereto. Nothing in this Agreement, expressed or implied, is intended or shall be construed to confer upon any person other than the Parties hereto (and, in the case of indemnities, any indemnitee) any right, remedy, or claim, legal or equitable, under or by reason of this Agreement or any provision hereof.</w:t>
      </w:r>
    </w:p>
    <w:p w14:paraId="18A40B6D" w14:textId="77777777" w:rsidR="00AC081F" w:rsidRDefault="00AC081F">
      <w:pPr>
        <w:pStyle w:val="ListParagraph"/>
      </w:pPr>
    </w:p>
    <w:p w14:paraId="685719FB" w14:textId="77777777" w:rsidR="00AC081F" w:rsidRDefault="00623803">
      <w:pPr>
        <w:pStyle w:val="ListParagraph"/>
        <w:numPr>
          <w:ilvl w:val="0"/>
          <w:numId w:val="19"/>
        </w:numPr>
      </w:pPr>
      <w:r>
        <w:rPr>
          <w:u w:val="single"/>
        </w:rPr>
        <w:t>No Assignment</w:t>
      </w:r>
      <w:r>
        <w:t xml:space="preserve">. Neither </w:t>
      </w:r>
      <w:r w:rsidR="00CD1451">
        <w:t>Center</w:t>
      </w:r>
      <w:r>
        <w:t xml:space="preserve"> nor </w:t>
      </w:r>
      <w:r w:rsidR="004845D1">
        <w:t>EH</w:t>
      </w:r>
      <w:r w:rsidR="00154338">
        <w:t xml:space="preserve"> </w:t>
      </w:r>
      <w:r>
        <w:t>may assign this Agreement, or any rights or obligations hereunder, without the prior written consent of the other Party.</w:t>
      </w:r>
    </w:p>
    <w:p w14:paraId="708C93AA" w14:textId="77777777" w:rsidR="007E34B6" w:rsidRDefault="007E34B6" w:rsidP="007E34B6">
      <w:pPr>
        <w:pStyle w:val="ListParagraph"/>
      </w:pPr>
    </w:p>
    <w:p w14:paraId="5C09C6A9" w14:textId="77777777" w:rsidR="007E34B6" w:rsidRDefault="007E34B6">
      <w:pPr>
        <w:pStyle w:val="ListParagraph"/>
        <w:numPr>
          <w:ilvl w:val="0"/>
          <w:numId w:val="19"/>
        </w:numPr>
      </w:pPr>
      <w:r w:rsidRPr="000D7E49">
        <w:rPr>
          <w:u w:val="single"/>
        </w:rPr>
        <w:t>Amendments</w:t>
      </w:r>
      <w:r>
        <w:t xml:space="preserve">. This Agreement may be amended at any time but only by a written instrument that the </w:t>
      </w:r>
      <w:r w:rsidR="009B6996">
        <w:t>Center</w:t>
      </w:r>
      <w:r>
        <w:t xml:space="preserve"> and </w:t>
      </w:r>
      <w:r w:rsidR="004845D1">
        <w:t>EH</w:t>
      </w:r>
      <w:r>
        <w:t xml:space="preserve"> duly execute.</w:t>
      </w:r>
    </w:p>
    <w:p w14:paraId="7E171C6E" w14:textId="77777777" w:rsidR="00AC081F" w:rsidRDefault="00AC081F">
      <w:pPr>
        <w:pStyle w:val="ListParagraph"/>
      </w:pPr>
    </w:p>
    <w:p w14:paraId="57AA9C66" w14:textId="77777777" w:rsidR="00AC081F" w:rsidRDefault="00623803">
      <w:pPr>
        <w:pStyle w:val="ListParagraph"/>
        <w:numPr>
          <w:ilvl w:val="0"/>
          <w:numId w:val="19"/>
        </w:numPr>
      </w:pPr>
      <w:r>
        <w:rPr>
          <w:u w:val="single"/>
        </w:rPr>
        <w:t>Governing Law</w:t>
      </w:r>
      <w:r>
        <w:t>. This Agreement shall be governed by and interpreted in accordance with the laws of the State of Indiana.</w:t>
      </w:r>
    </w:p>
    <w:p w14:paraId="473ED962" w14:textId="77777777" w:rsidR="00AC081F" w:rsidRDefault="00AC081F">
      <w:pPr>
        <w:pStyle w:val="ListParagraph"/>
      </w:pPr>
    </w:p>
    <w:p w14:paraId="512666C2" w14:textId="77777777" w:rsidR="00AC081F" w:rsidRDefault="00623803">
      <w:pPr>
        <w:pStyle w:val="ListParagraph"/>
        <w:numPr>
          <w:ilvl w:val="0"/>
          <w:numId w:val="19"/>
        </w:numPr>
      </w:pPr>
      <w:r>
        <w:rPr>
          <w:u w:val="single"/>
        </w:rPr>
        <w:t>Construction and Effect</w:t>
      </w:r>
      <w:r>
        <w:t>. The section headings in this Agreement are used solely for convenience and shall not be deemed to limit the subject matter of the sections or considered in their interpretation. This Agreement may be executed in one (1) or more counterparts, each of which shall constitute an original hereof and which together shall constitute the fully executed Agreement.</w:t>
      </w:r>
    </w:p>
    <w:p w14:paraId="4940F85E" w14:textId="77777777" w:rsidR="00AC081F" w:rsidRDefault="00AC081F">
      <w:pPr>
        <w:pStyle w:val="ListParagraph"/>
      </w:pPr>
    </w:p>
    <w:p w14:paraId="5C850A75" w14:textId="77777777" w:rsidR="00AC081F" w:rsidRDefault="00623803">
      <w:pPr>
        <w:pStyle w:val="ListParagraph"/>
        <w:numPr>
          <w:ilvl w:val="0"/>
          <w:numId w:val="19"/>
        </w:numPr>
      </w:pPr>
      <w:r>
        <w:rPr>
          <w:u w:val="single"/>
        </w:rPr>
        <w:t>Severability</w:t>
      </w:r>
      <w:r>
        <w:t xml:space="preserve">. Should any clause, portion, or section of this Agreement be held unenforceable or invalid for any reason, </w:t>
      </w:r>
      <w:r w:rsidR="009B6996">
        <w:t>Center</w:t>
      </w:r>
      <w:r w:rsidR="00154338">
        <w:t xml:space="preserve"> </w:t>
      </w:r>
      <w:r>
        <w:t xml:space="preserve">and </w:t>
      </w:r>
      <w:r w:rsidR="004845D1">
        <w:t>EH</w:t>
      </w:r>
      <w:r>
        <w:t xml:space="preserve"> agree and acknowledge that </w:t>
      </w:r>
      <w:r>
        <w:lastRenderedPageBreak/>
        <w:t>such unenforceability or invalidity shall not affect the enforceability or validity of the remainder of this Agreement.</w:t>
      </w:r>
    </w:p>
    <w:p w14:paraId="76EF2250" w14:textId="77777777" w:rsidR="00AC081F" w:rsidRDefault="00AC081F">
      <w:pPr>
        <w:pStyle w:val="ListParagraph"/>
      </w:pPr>
    </w:p>
    <w:p w14:paraId="4F0441E9" w14:textId="77777777" w:rsidR="00AC081F" w:rsidRDefault="00623803">
      <w:pPr>
        <w:pStyle w:val="ListParagraph"/>
        <w:numPr>
          <w:ilvl w:val="0"/>
          <w:numId w:val="19"/>
        </w:numPr>
      </w:pPr>
      <w:r>
        <w:rPr>
          <w:u w:val="single"/>
        </w:rPr>
        <w:t>Non-Waiver</w:t>
      </w:r>
      <w:r>
        <w:t xml:space="preserve">. The failure of either </w:t>
      </w:r>
      <w:r w:rsidR="009B6996">
        <w:t>Center</w:t>
      </w:r>
      <w:r>
        <w:t xml:space="preserve"> or </w:t>
      </w:r>
      <w:r w:rsidR="004845D1">
        <w:t>EH</w:t>
      </w:r>
      <w:r>
        <w:t xml:space="preserve"> to insist in any one (1) or more instances upon the performance of any of the provisions of this Agreement or to pursue its rights hereunder shall not be construed as a waiver of any such provisions or the relinquishment of any such rights</w:t>
      </w:r>
      <w:r w:rsidR="007E34B6">
        <w:t xml:space="preserve"> and shall not preclude any other or further exercise of any other right or power</w:t>
      </w:r>
      <w:r>
        <w:t>.</w:t>
      </w:r>
    </w:p>
    <w:p w14:paraId="71616261" w14:textId="77777777" w:rsidR="007E34B6" w:rsidRDefault="007E34B6" w:rsidP="007E34B6">
      <w:pPr>
        <w:pStyle w:val="ListParagraph"/>
      </w:pPr>
    </w:p>
    <w:p w14:paraId="4008222B" w14:textId="77777777" w:rsidR="007E34B6" w:rsidRDefault="007E34B6">
      <w:pPr>
        <w:pStyle w:val="ListParagraph"/>
        <w:numPr>
          <w:ilvl w:val="0"/>
          <w:numId w:val="19"/>
        </w:numPr>
      </w:pPr>
      <w:r w:rsidRPr="000D7E49">
        <w:rPr>
          <w:u w:val="single"/>
        </w:rPr>
        <w:t>Entire Agreement</w:t>
      </w:r>
      <w:r>
        <w:t>. This Agreement sets forth the entire understanding of the Parties as to the subject matter it addresses and supersedes all previous representations, understandings or agreements, whether written or oral, by and between the Parties with respect to its subject matter.</w:t>
      </w:r>
      <w:r w:rsidR="004C4E8B">
        <w:t xml:space="preserve"> </w:t>
      </w:r>
    </w:p>
    <w:p w14:paraId="13139A13" w14:textId="77777777" w:rsidR="007E34B6" w:rsidRDefault="007E34B6" w:rsidP="007E34B6">
      <w:pPr>
        <w:pStyle w:val="ListParagraph"/>
      </w:pPr>
    </w:p>
    <w:p w14:paraId="720A8532" w14:textId="77777777" w:rsidR="007E34B6" w:rsidRDefault="007E34B6">
      <w:pPr>
        <w:pStyle w:val="ListParagraph"/>
        <w:numPr>
          <w:ilvl w:val="0"/>
          <w:numId w:val="19"/>
        </w:numPr>
      </w:pPr>
      <w:r w:rsidRPr="000D7E49">
        <w:rPr>
          <w:u w:val="single"/>
        </w:rPr>
        <w:t>Execution</w:t>
      </w:r>
      <w:r>
        <w:t xml:space="preserve">. </w:t>
      </w:r>
      <w:r w:rsidR="00CD1451">
        <w:t>Center</w:t>
      </w:r>
      <w:r>
        <w:t xml:space="preserve"> and </w:t>
      </w:r>
      <w:r w:rsidR="004845D1">
        <w:t>EH</w:t>
      </w:r>
      <w:r>
        <w:t xml:space="preserve"> have executed this Agreement below through their respective officers, each of whom represents that he or she is duly authorized to do so.</w:t>
      </w:r>
    </w:p>
    <w:p w14:paraId="18A4B525" w14:textId="77777777" w:rsidR="00CD1451" w:rsidRDefault="00CD1451" w:rsidP="00CD1451">
      <w:pPr>
        <w:pStyle w:val="ListParagraph"/>
      </w:pPr>
    </w:p>
    <w:p w14:paraId="01C6082A" w14:textId="77777777" w:rsidR="00CD1451" w:rsidRDefault="00CD1451">
      <w:pPr>
        <w:pStyle w:val="ListParagraph"/>
        <w:numPr>
          <w:ilvl w:val="0"/>
          <w:numId w:val="19"/>
        </w:numPr>
      </w:pPr>
      <w:r w:rsidRPr="00CD1451">
        <w:rPr>
          <w:u w:val="single"/>
        </w:rPr>
        <w:t>Notices</w:t>
      </w:r>
      <w:r>
        <w:t>. To be effective, any notice given under this Service Agreement must be in writing, shall be effective when received and must be delivered by hand, facsimile transmission, certified US Mail, overnight express delivery service or e-mail address to the intended recipient at the following address:</w:t>
      </w:r>
    </w:p>
    <w:p w14:paraId="2533DDD2" w14:textId="77777777" w:rsidR="00CD1451" w:rsidRDefault="00CD1451" w:rsidP="00CD1451">
      <w:pPr>
        <w:pStyle w:val="ListParagraph"/>
      </w:pPr>
    </w:p>
    <w:p w14:paraId="51D17B5C" w14:textId="77777777" w:rsidR="00CD1451" w:rsidRDefault="00CD1451" w:rsidP="00CD1451">
      <w:pPr>
        <w:pStyle w:val="ListParagraph"/>
        <w:numPr>
          <w:ilvl w:val="1"/>
          <w:numId w:val="19"/>
        </w:numPr>
      </w:pPr>
      <w:r>
        <w:t xml:space="preserve">If to the Center: </w:t>
      </w:r>
      <w:r>
        <w:tab/>
        <w:t>President and CEO</w:t>
      </w:r>
    </w:p>
    <w:p w14:paraId="6C76607F" w14:textId="77777777" w:rsidR="00CD1451" w:rsidRDefault="00CD1451" w:rsidP="00CD1451">
      <w:pPr>
        <w:ind w:left="3600"/>
      </w:pPr>
      <w:r>
        <w:t>Fathers and Families Resource/Research Center d/b/a Fathers and Families Center</w:t>
      </w:r>
    </w:p>
    <w:p w14:paraId="1460CD71" w14:textId="77777777" w:rsidR="00CD1451" w:rsidRDefault="00CD1451" w:rsidP="00CD1451">
      <w:pPr>
        <w:ind w:left="3600"/>
      </w:pPr>
      <w:r>
        <w:t>2835 N. Illinois St.</w:t>
      </w:r>
    </w:p>
    <w:p w14:paraId="60B631B4" w14:textId="77777777" w:rsidR="00CD1451" w:rsidRDefault="00525F5B" w:rsidP="00525F5B">
      <w:pPr>
        <w:ind w:left="3600"/>
      </w:pPr>
      <w:r>
        <w:t>Indianapolis, IN 46208</w:t>
      </w:r>
    </w:p>
    <w:p w14:paraId="489DB56F" w14:textId="77777777" w:rsidR="00525F5B" w:rsidRDefault="00525F5B" w:rsidP="00525F5B">
      <w:pPr>
        <w:ind w:left="3600"/>
      </w:pPr>
    </w:p>
    <w:p w14:paraId="65464481" w14:textId="77777777" w:rsidR="00525F5B" w:rsidRDefault="00525F5B" w:rsidP="00525F5B">
      <w:pPr>
        <w:pStyle w:val="ListParagraph"/>
        <w:numPr>
          <w:ilvl w:val="1"/>
          <w:numId w:val="19"/>
        </w:numPr>
      </w:pPr>
      <w:r>
        <w:t xml:space="preserve">If to Eskenazi Health: </w:t>
      </w:r>
      <w:r>
        <w:tab/>
      </w:r>
      <w:r w:rsidR="00BF4260">
        <w:t>CEO</w:t>
      </w:r>
    </w:p>
    <w:p w14:paraId="53BEF941" w14:textId="77777777" w:rsidR="002F1C57" w:rsidRDefault="002F1C57" w:rsidP="00BF4260">
      <w:pPr>
        <w:pStyle w:val="ListParagraph"/>
        <w:ind w:left="4320"/>
      </w:pPr>
      <w:r>
        <w:t>Fifth Third Bank Building, Fifth Floor</w:t>
      </w:r>
    </w:p>
    <w:p w14:paraId="606D1E22" w14:textId="77777777" w:rsidR="00BF4260" w:rsidRDefault="00BF4260" w:rsidP="00BF4260">
      <w:pPr>
        <w:pStyle w:val="ListParagraph"/>
        <w:ind w:left="4320"/>
      </w:pPr>
      <w:r>
        <w:t>720 Eskenazi Ave.</w:t>
      </w:r>
    </w:p>
    <w:p w14:paraId="5529F14A" w14:textId="77777777" w:rsidR="00BF4260" w:rsidRDefault="00BF4260" w:rsidP="00BF4260">
      <w:pPr>
        <w:pStyle w:val="ListParagraph"/>
        <w:ind w:left="4320"/>
      </w:pPr>
      <w:r>
        <w:t>Indianapolis, IN 46202</w:t>
      </w:r>
    </w:p>
    <w:p w14:paraId="451A9626" w14:textId="77777777" w:rsidR="00AC081F" w:rsidRDefault="00AC081F">
      <w:pPr>
        <w:pStyle w:val="ListParagraph"/>
      </w:pPr>
    </w:p>
    <w:p w14:paraId="27FF09B8" w14:textId="77777777" w:rsidR="00AC081F" w:rsidRDefault="00AC081F"/>
    <w:p w14:paraId="7E24B07B" w14:textId="77777777" w:rsidR="009903A2" w:rsidRDefault="009903A2"/>
    <w:p w14:paraId="60935A50" w14:textId="77777777" w:rsidR="00AC081F" w:rsidRDefault="00623803">
      <w:r>
        <w:t>IN WITNESS WHEREOF, the Parties have executed this Agreement as of the Effective Date.</w:t>
      </w:r>
    </w:p>
    <w:p w14:paraId="0FFCA42E" w14:textId="77777777" w:rsidR="009903A2" w:rsidRDefault="009903A2"/>
    <w:p w14:paraId="6A332883" w14:textId="77777777" w:rsidR="00AC081F" w:rsidRDefault="00AC08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081F" w14:paraId="203C4F2E" w14:textId="77777777">
        <w:tc>
          <w:tcPr>
            <w:tcW w:w="4788" w:type="dxa"/>
          </w:tcPr>
          <w:p w14:paraId="47A62572" w14:textId="77777777" w:rsidR="00AC081F" w:rsidRDefault="00CD1451">
            <w:pPr>
              <w:rPr>
                <w:b/>
              </w:rPr>
            </w:pPr>
            <w:r>
              <w:rPr>
                <w:b/>
              </w:rPr>
              <w:t>FATHERS AND FAMILIES CENTER</w:t>
            </w:r>
          </w:p>
          <w:p w14:paraId="4BF769EB" w14:textId="77777777" w:rsidR="00AC081F" w:rsidRDefault="00AC081F">
            <w:pPr>
              <w:rPr>
                <w:b/>
              </w:rPr>
            </w:pPr>
          </w:p>
          <w:p w14:paraId="6DA73E9A" w14:textId="77777777" w:rsidR="00AC081F" w:rsidRDefault="00AC081F">
            <w:pPr>
              <w:rPr>
                <w:b/>
              </w:rPr>
            </w:pPr>
          </w:p>
        </w:tc>
        <w:tc>
          <w:tcPr>
            <w:tcW w:w="4788" w:type="dxa"/>
          </w:tcPr>
          <w:p w14:paraId="441978CE" w14:textId="77777777" w:rsidR="00AC081F" w:rsidRDefault="00E7178A">
            <w:pPr>
              <w:rPr>
                <w:b/>
                <w:caps/>
              </w:rPr>
            </w:pPr>
            <w:r>
              <w:rPr>
                <w:b/>
                <w:caps/>
              </w:rPr>
              <w:t>ESKENAZI Health</w:t>
            </w:r>
          </w:p>
        </w:tc>
      </w:tr>
      <w:tr w:rsidR="009903A2" w14:paraId="6F02B2EC" w14:textId="77777777">
        <w:tc>
          <w:tcPr>
            <w:tcW w:w="4788" w:type="dxa"/>
          </w:tcPr>
          <w:p w14:paraId="44B6511B" w14:textId="77777777" w:rsidR="009903A2" w:rsidRDefault="009903A2">
            <w:pPr>
              <w:rPr>
                <w:b/>
              </w:rPr>
            </w:pPr>
          </w:p>
        </w:tc>
        <w:tc>
          <w:tcPr>
            <w:tcW w:w="4788" w:type="dxa"/>
          </w:tcPr>
          <w:p w14:paraId="215257E5" w14:textId="77777777" w:rsidR="009903A2" w:rsidRDefault="009903A2">
            <w:pPr>
              <w:rPr>
                <w:b/>
                <w:caps/>
              </w:rPr>
            </w:pPr>
          </w:p>
        </w:tc>
      </w:tr>
      <w:tr w:rsidR="00AC081F" w14:paraId="72287D83" w14:textId="77777777">
        <w:tc>
          <w:tcPr>
            <w:tcW w:w="4788" w:type="dxa"/>
          </w:tcPr>
          <w:p w14:paraId="5596F38E" w14:textId="77777777" w:rsidR="00AC081F" w:rsidRDefault="00623803">
            <w:r>
              <w:t>By: __________________________________</w:t>
            </w:r>
          </w:p>
          <w:p w14:paraId="1B0A771D" w14:textId="77777777" w:rsidR="00AC081F" w:rsidRDefault="00E7178A" w:rsidP="00CD1451">
            <w:pPr>
              <w:ind w:left="450" w:hanging="450"/>
            </w:pPr>
            <w:r>
              <w:t xml:space="preserve">       </w:t>
            </w:r>
            <w:r w:rsidR="00CD1451">
              <w:t xml:space="preserve">Wallace O. McLaughlin, </w:t>
            </w:r>
            <w:proofErr w:type="spellStart"/>
            <w:r w:rsidR="00CD1451">
              <w:t>Ph.D</w:t>
            </w:r>
            <w:proofErr w:type="spellEnd"/>
            <w:r>
              <w:t xml:space="preserve">, President </w:t>
            </w:r>
            <w:r w:rsidR="00CD1451">
              <w:t xml:space="preserve">  </w:t>
            </w:r>
            <w:r>
              <w:t>and CEO</w:t>
            </w:r>
          </w:p>
          <w:p w14:paraId="7B8855EB" w14:textId="77777777" w:rsidR="00AC081F" w:rsidRDefault="00AC081F"/>
          <w:p w14:paraId="38551607" w14:textId="77777777" w:rsidR="00AC081F" w:rsidRDefault="00AC081F"/>
        </w:tc>
        <w:tc>
          <w:tcPr>
            <w:tcW w:w="4788" w:type="dxa"/>
          </w:tcPr>
          <w:p w14:paraId="333AD58C" w14:textId="77777777" w:rsidR="00AC081F" w:rsidRDefault="00623803">
            <w:r>
              <w:lastRenderedPageBreak/>
              <w:t>By: __________________________________</w:t>
            </w:r>
          </w:p>
          <w:p w14:paraId="731F2EE1" w14:textId="77777777" w:rsidR="00AC081F" w:rsidRDefault="00E7178A">
            <w:r>
              <w:t xml:space="preserve">       Lisa Harris, M.D., CEO</w:t>
            </w:r>
          </w:p>
          <w:p w14:paraId="0E565179" w14:textId="77777777" w:rsidR="00AC081F" w:rsidRDefault="00AC081F"/>
          <w:p w14:paraId="20803972" w14:textId="77777777" w:rsidR="00AC081F" w:rsidRDefault="00AC081F"/>
        </w:tc>
      </w:tr>
      <w:tr w:rsidR="00E7178A" w14:paraId="15C31FEA" w14:textId="77777777">
        <w:tc>
          <w:tcPr>
            <w:tcW w:w="4788" w:type="dxa"/>
          </w:tcPr>
          <w:p w14:paraId="16640626" w14:textId="77777777" w:rsidR="00E7178A" w:rsidRDefault="00E7178A"/>
        </w:tc>
        <w:tc>
          <w:tcPr>
            <w:tcW w:w="4788" w:type="dxa"/>
          </w:tcPr>
          <w:p w14:paraId="164CA784" w14:textId="77777777" w:rsidR="00E7178A" w:rsidRDefault="00E7178A"/>
        </w:tc>
      </w:tr>
    </w:tbl>
    <w:p w14:paraId="79AC06E2" w14:textId="77777777" w:rsidR="00AC081F" w:rsidRDefault="00AC081F"/>
    <w:p w14:paraId="5790F2C1" w14:textId="77777777" w:rsidR="00AC081F" w:rsidRDefault="00AC081F"/>
    <w:p w14:paraId="6EBDAA41" w14:textId="77777777" w:rsidR="00AC081F" w:rsidRDefault="00AC081F" w:rsidP="00104722"/>
    <w:p w14:paraId="7D397F23" w14:textId="77777777" w:rsidR="00AC081F" w:rsidRDefault="00AC081F">
      <w:pPr>
        <w:ind w:firstLine="3690"/>
      </w:pPr>
    </w:p>
    <w:p w14:paraId="21CF67EA" w14:textId="77777777" w:rsidR="00AC081F" w:rsidRDefault="00623803">
      <w:pPr>
        <w:ind w:firstLine="3690"/>
      </w:pPr>
      <w:r>
        <w:t xml:space="preserve"> </w:t>
      </w:r>
    </w:p>
    <w:p w14:paraId="2CD23BC6" w14:textId="77777777" w:rsidR="00AC081F" w:rsidRDefault="008E37A2">
      <w:pPr>
        <w:ind w:left="4320" w:firstLine="720"/>
        <w:jc w:val="both"/>
      </w:pPr>
      <w:r>
        <w:rPr>
          <w:noProof/>
        </w:rPr>
        <mc:AlternateContent>
          <mc:Choice Requires="wps">
            <w:drawing>
              <wp:anchor distT="0" distB="0" distL="118745" distR="118745" simplePos="0" relativeHeight="251659264" behindDoc="0" locked="1" layoutInCell="0" allowOverlap="1" wp14:anchorId="184BE483" wp14:editId="328A374E">
                <wp:simplePos x="0" y="0"/>
                <wp:positionH relativeFrom="margin">
                  <wp:posOffset>0</wp:posOffset>
                </wp:positionH>
                <wp:positionV relativeFrom="page">
                  <wp:posOffset>9601200</wp:posOffset>
                </wp:positionV>
                <wp:extent cx="5943600" cy="274320"/>
                <wp:effectExtent l="0" t="0" r="0" b="11430"/>
                <wp:wrapNone/>
                <wp:docPr id="80" name="PCG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718C" w14:textId="77777777" w:rsidR="008E37A2" w:rsidRDefault="002B6EC3">
                            <w:pPr>
                              <w:pStyle w:val="Footer"/>
                              <w:rPr>
                                <w:rStyle w:val="DocID"/>
                              </w:rPr>
                            </w:pPr>
                            <w:r w:rsidRPr="002B6EC3">
                              <w:rPr>
                                <w:rStyle w:val="DocID"/>
                              </w:rPr>
                              <w:t>US.120669652.02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E483" id="_x0000_t202" coordsize="21600,21600" o:spt="202" path="m,l,21600r21600,l21600,xe">
                <v:stroke joinstyle="miter"/>
                <v:path gradientshapeok="t" o:connecttype="rect"/>
              </v:shapetype>
              <v:shape id="PCGDocID" o:spid="_x0000_s1026" type="#_x0000_t202" style="position:absolute;left:0;text-align:left;margin-left:0;margin-top:756pt;width:468pt;height:21.6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" o:allowincell="f" filled="f" stroked="f">
                <v:textbox inset="0,0,0,0">
                  <w:txbxContent>
                    <w:p w14:paraId="0621718C" w14:textId="77777777" w:rsidR="008E37A2" w:rsidRDefault="002B6EC3">
                      <w:pPr>
                        <w:pStyle w:val="Footer"/>
                        <w:rPr>
                          <w:rStyle w:val="DocID"/>
                        </w:rPr>
                      </w:pPr>
                      <w:r w:rsidRPr="002B6EC3">
                        <w:rPr>
                          <w:rStyle w:val="DocID"/>
                        </w:rPr>
                        <w:t>US.120669652.02</w:t>
                      </w:r>
                    </w:p>
                  </w:txbxContent>
                </v:textbox>
                <w10:wrap anchorx="margin" anchory="page"/>
                <w10:anchorlock/>
              </v:shape>
            </w:pict>
          </mc:Fallback>
        </mc:AlternateContent>
      </w:r>
    </w:p>
    <w:sectPr w:rsidR="00AC081F" w:rsidSect="002B6E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7A0C" w14:textId="77777777" w:rsidR="00A9408D" w:rsidRDefault="00A9408D">
      <w:r>
        <w:separator/>
      </w:r>
    </w:p>
  </w:endnote>
  <w:endnote w:type="continuationSeparator" w:id="0">
    <w:p w14:paraId="097DC315" w14:textId="77777777" w:rsidR="00A9408D" w:rsidRDefault="00A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A484" w14:textId="77777777" w:rsidR="002B6EC3" w:rsidRDefault="002B6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0596"/>
      <w:docPartObj>
        <w:docPartGallery w:val="Page Numbers (Bottom of Page)"/>
        <w:docPartUnique/>
      </w:docPartObj>
    </w:sdtPr>
    <w:sdtEndPr/>
    <w:sdtContent>
      <w:p w14:paraId="12BBD286" w14:textId="77777777" w:rsidR="00AC081F" w:rsidRDefault="00623803">
        <w:pPr>
          <w:pStyle w:val="Footer"/>
          <w:jc w:val="center"/>
        </w:pPr>
        <w:r>
          <w:t>[</w:t>
        </w:r>
        <w:r>
          <w:fldChar w:fldCharType="begin"/>
        </w:r>
        <w:r>
          <w:instrText xml:space="preserve"> PAGE   \* MERGEFORMAT </w:instrText>
        </w:r>
        <w:r>
          <w:fldChar w:fldCharType="separate"/>
        </w:r>
        <w:r w:rsidR="0065436D">
          <w:rPr>
            <w:noProof/>
          </w:rPr>
          <w:t>2</w:t>
        </w:r>
        <w:r>
          <w:rPr>
            <w:noProof/>
          </w:rPr>
          <w:fldChar w:fldCharType="end"/>
        </w:r>
        <w:r>
          <w:t>]</w:t>
        </w:r>
      </w:p>
    </w:sdtContent>
  </w:sdt>
  <w:p w14:paraId="4A882AF5" w14:textId="77777777" w:rsidR="00AC081F" w:rsidRDefault="00AC0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DEBD" w14:textId="77777777" w:rsidR="00AC081F" w:rsidRDefault="00623803">
    <w:pPr>
      <w:pStyle w:val="Footer"/>
      <w:rPr>
        <w:rStyle w:val="DocID"/>
      </w:rPr>
    </w:pPr>
    <w:r>
      <w:rPr>
        <w:rStyle w:val="Doc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6BCD" w14:textId="77777777" w:rsidR="00A9408D" w:rsidRDefault="00A9408D">
      <w:r>
        <w:separator/>
      </w:r>
    </w:p>
  </w:footnote>
  <w:footnote w:type="continuationSeparator" w:id="0">
    <w:p w14:paraId="008CF272" w14:textId="77777777" w:rsidR="00A9408D" w:rsidRDefault="00A9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74C1" w14:textId="77777777" w:rsidR="002B6EC3" w:rsidRDefault="002B6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E423" w14:textId="77777777" w:rsidR="002B6EC3" w:rsidRDefault="002B6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B863" w14:textId="77777777" w:rsidR="002B6EC3" w:rsidRDefault="002B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D5780E98"/>
    <w:lvl w:ilvl="0" w:tplc="FFFFFFFF">
      <w:start w:val="1"/>
      <w:numFmt w:val="decimal"/>
      <w:lvlText w:val="%1."/>
      <w:lvlJc w:val="left"/>
      <w:pPr>
        <w:widowControl w:val="0"/>
        <w:autoSpaceDE w:val="0"/>
        <w:autoSpaceDN w:val="0"/>
        <w:adjustRightInd w:val="0"/>
        <w:ind w:left="1080" w:hanging="360"/>
      </w:pPr>
      <w:rPr>
        <w:rFonts w:ascii="Calibri" w:hAnsi="Calibri" w:cs="Calibri"/>
        <w:sz w:val="22"/>
        <w:szCs w:val="22"/>
      </w:rPr>
    </w:lvl>
    <w:lvl w:ilvl="1" w:tplc="FFFFFFFF">
      <w:start w:val="1"/>
      <w:numFmt w:val="lowerLetter"/>
      <w:lvlText w:val="%2."/>
      <w:lvlJc w:val="left"/>
      <w:pPr>
        <w:widowControl w:val="0"/>
        <w:autoSpaceDE w:val="0"/>
        <w:autoSpaceDN w:val="0"/>
        <w:adjustRightInd w:val="0"/>
        <w:ind w:left="1800" w:hanging="360"/>
      </w:pPr>
      <w:rPr>
        <w:rFonts w:ascii="Calibri" w:hAnsi="Calibri" w:cs="Calibri"/>
        <w:sz w:val="22"/>
        <w:szCs w:val="22"/>
      </w:rPr>
    </w:lvl>
    <w:lvl w:ilvl="2" w:tplc="FFFFFFFF">
      <w:start w:val="1"/>
      <w:numFmt w:val="lowerRoman"/>
      <w:lvlText w:val="%3."/>
      <w:lvlJc w:val="right"/>
      <w:pPr>
        <w:widowControl w:val="0"/>
        <w:autoSpaceDE w:val="0"/>
        <w:autoSpaceDN w:val="0"/>
        <w:adjustRightInd w:val="0"/>
        <w:ind w:left="2520" w:hanging="180"/>
      </w:pPr>
      <w:rPr>
        <w:rFonts w:ascii="Calibri" w:hAnsi="Calibri" w:cs="Calibri"/>
        <w:sz w:val="22"/>
        <w:szCs w:val="22"/>
      </w:rPr>
    </w:lvl>
    <w:lvl w:ilvl="3" w:tplc="FFFFFFFF">
      <w:start w:val="1"/>
      <w:numFmt w:val="decimal"/>
      <w:lvlText w:val="%4."/>
      <w:lvlJc w:val="left"/>
      <w:pPr>
        <w:widowControl w:val="0"/>
        <w:autoSpaceDE w:val="0"/>
        <w:autoSpaceDN w:val="0"/>
        <w:adjustRightInd w:val="0"/>
        <w:ind w:left="3240" w:hanging="360"/>
      </w:pPr>
      <w:rPr>
        <w:rFonts w:ascii="Calibri" w:hAnsi="Calibri" w:cs="Calibri"/>
        <w:sz w:val="22"/>
        <w:szCs w:val="22"/>
      </w:rPr>
    </w:lvl>
    <w:lvl w:ilvl="4" w:tplc="FFFFFFFF">
      <w:start w:val="1"/>
      <w:numFmt w:val="lowerLetter"/>
      <w:lvlText w:val="%5."/>
      <w:lvlJc w:val="left"/>
      <w:pPr>
        <w:widowControl w:val="0"/>
        <w:autoSpaceDE w:val="0"/>
        <w:autoSpaceDN w:val="0"/>
        <w:adjustRightInd w:val="0"/>
        <w:ind w:left="3960" w:hanging="360"/>
      </w:pPr>
      <w:rPr>
        <w:rFonts w:ascii="Calibri" w:hAnsi="Calibri" w:cs="Calibri"/>
        <w:sz w:val="22"/>
        <w:szCs w:val="22"/>
      </w:rPr>
    </w:lvl>
    <w:lvl w:ilvl="5" w:tplc="FFFFFFFF">
      <w:start w:val="1"/>
      <w:numFmt w:val="lowerRoman"/>
      <w:lvlText w:val="%6."/>
      <w:lvlJc w:val="right"/>
      <w:pPr>
        <w:widowControl w:val="0"/>
        <w:autoSpaceDE w:val="0"/>
        <w:autoSpaceDN w:val="0"/>
        <w:adjustRightInd w:val="0"/>
        <w:ind w:left="4680" w:hanging="180"/>
      </w:pPr>
      <w:rPr>
        <w:rFonts w:ascii="Calibri" w:hAnsi="Calibri" w:cs="Calibri"/>
        <w:sz w:val="22"/>
        <w:szCs w:val="22"/>
      </w:rPr>
    </w:lvl>
    <w:lvl w:ilvl="6" w:tplc="FFFFFFFF">
      <w:start w:val="1"/>
      <w:numFmt w:val="decimal"/>
      <w:lvlText w:val="%7."/>
      <w:lvlJc w:val="left"/>
      <w:pPr>
        <w:widowControl w:val="0"/>
        <w:autoSpaceDE w:val="0"/>
        <w:autoSpaceDN w:val="0"/>
        <w:adjustRightInd w:val="0"/>
        <w:ind w:left="5400" w:hanging="360"/>
      </w:pPr>
      <w:rPr>
        <w:rFonts w:ascii="Calibri" w:hAnsi="Calibri" w:cs="Calibri"/>
        <w:sz w:val="22"/>
        <w:szCs w:val="22"/>
      </w:rPr>
    </w:lvl>
    <w:lvl w:ilvl="7" w:tplc="FFFFFFFF">
      <w:start w:val="1"/>
      <w:numFmt w:val="lowerLetter"/>
      <w:lvlText w:val="%8."/>
      <w:lvlJc w:val="left"/>
      <w:pPr>
        <w:widowControl w:val="0"/>
        <w:autoSpaceDE w:val="0"/>
        <w:autoSpaceDN w:val="0"/>
        <w:adjustRightInd w:val="0"/>
        <w:ind w:left="6120" w:hanging="360"/>
      </w:pPr>
      <w:rPr>
        <w:rFonts w:ascii="Calibri" w:hAnsi="Calibri" w:cs="Calibri"/>
        <w:sz w:val="22"/>
        <w:szCs w:val="22"/>
      </w:rPr>
    </w:lvl>
    <w:lvl w:ilvl="8" w:tplc="FFFFFFFF">
      <w:start w:val="1"/>
      <w:numFmt w:val="lowerRoman"/>
      <w:lvlText w:val="%9."/>
      <w:lvlJc w:val="right"/>
      <w:pPr>
        <w:widowControl w:val="0"/>
        <w:autoSpaceDE w:val="0"/>
        <w:autoSpaceDN w:val="0"/>
        <w:adjustRightInd w:val="0"/>
        <w:ind w:left="6840" w:hanging="180"/>
      </w:pPr>
      <w:rPr>
        <w:rFonts w:ascii="Calibri" w:hAnsi="Calibri" w:cs="Calibri"/>
        <w:sz w:val="22"/>
        <w:szCs w:val="22"/>
      </w:rPr>
    </w:lvl>
  </w:abstractNum>
  <w:abstractNum w:abstractNumId="11" w15:restartNumberingAfterBreak="0">
    <w:nsid w:val="0FC53738"/>
    <w:multiLevelType w:val="hybridMultilevel"/>
    <w:tmpl w:val="274AA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35071"/>
    <w:multiLevelType w:val="hybridMultilevel"/>
    <w:tmpl w:val="8D183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7F83629"/>
    <w:multiLevelType w:val="hybridMultilevel"/>
    <w:tmpl w:val="00A661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FB6A42"/>
    <w:multiLevelType w:val="hybridMultilevel"/>
    <w:tmpl w:val="D86E81D6"/>
    <w:lvl w:ilvl="0" w:tplc="E990D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F7182"/>
    <w:multiLevelType w:val="hybridMultilevel"/>
    <w:tmpl w:val="8F60C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D50"/>
    <w:multiLevelType w:val="hybridMultilevel"/>
    <w:tmpl w:val="1F6A8D90"/>
    <w:lvl w:ilvl="0" w:tplc="9564A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3109C"/>
    <w:multiLevelType w:val="hybridMultilevel"/>
    <w:tmpl w:val="433E363A"/>
    <w:lvl w:ilvl="0" w:tplc="08809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D5966"/>
    <w:multiLevelType w:val="hybridMultilevel"/>
    <w:tmpl w:val="36048EB8"/>
    <w:lvl w:ilvl="0" w:tplc="E3FE4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15C99"/>
    <w:multiLevelType w:val="hybridMultilevel"/>
    <w:tmpl w:val="03A65D48"/>
    <w:lvl w:ilvl="0" w:tplc="7B76D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86024"/>
    <w:multiLevelType w:val="multilevel"/>
    <w:tmpl w:val="4104822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1" w15:restartNumberingAfterBreak="0">
    <w:nsid w:val="465E4F23"/>
    <w:multiLevelType w:val="hybridMultilevel"/>
    <w:tmpl w:val="93C8FB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9A45F49"/>
    <w:multiLevelType w:val="hybridMultilevel"/>
    <w:tmpl w:val="798A153C"/>
    <w:name w:val="(Unnamed Numbering Scheme)"/>
    <w:lvl w:ilvl="0" w:tplc="D9A63C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AF2B57"/>
    <w:multiLevelType w:val="multilevel"/>
    <w:tmpl w:val="13782D46"/>
    <w:lvl w:ilvl="0">
      <w:start w:val="1"/>
      <w:numFmt w:val="upperRoman"/>
      <w:lvlText w:val="SECTION %1."/>
      <w:lvlJc w:val="left"/>
      <w:pPr>
        <w:ind w:left="720" w:hanging="720"/>
      </w:pPr>
      <w:rPr>
        <w:rFonts w:ascii="Times New Roman" w:hAnsi="Times New Roman" w:cs="Times New Roman" w:hint="default"/>
        <w:b/>
        <w:caps/>
        <w:strike w:val="0"/>
        <w:dstrike w:val="0"/>
        <w:color w:val="auto"/>
        <w:sz w:val="24"/>
        <w:szCs w:val="24"/>
        <w:u w:val="none"/>
        <w:effect w:val="none"/>
        <w:vertAlign w:val="baseline"/>
      </w:rPr>
    </w:lvl>
    <w:lvl w:ilvl="1">
      <w:start w:val="1"/>
      <w:numFmt w:val="decimalZero"/>
      <w:isLgl/>
      <w:lvlText w:val="%1.%2"/>
      <w:lvlJc w:val="left"/>
      <w:pPr>
        <w:ind w:left="1440" w:hanging="720"/>
      </w:pPr>
      <w:rPr>
        <w:rFonts w:ascii="Times New Roman" w:hAnsi="Times New Roman" w:cs="Times New Roman" w:hint="default"/>
        <w:strike w:val="0"/>
        <w:dstrike w:val="0"/>
        <w:color w:val="auto"/>
        <w:sz w:val="24"/>
        <w:szCs w:val="24"/>
        <w:u w:val="none"/>
        <w:effect w:val="none"/>
        <w:vertAlign w:val="baseline"/>
      </w:rPr>
    </w:lvl>
    <w:lvl w:ilvl="2">
      <w:start w:val="1"/>
      <w:numFmt w:val="decimal"/>
      <w:isLgl/>
      <w:lvlText w:val="%1.%2.%3"/>
      <w:lvlJc w:val="left"/>
      <w:pPr>
        <w:ind w:left="2160" w:hanging="720"/>
      </w:pPr>
      <w:rPr>
        <w:rFonts w:ascii="Times New Roman" w:hAnsi="Times New Roman" w:cs="Times New Roman" w:hint="default"/>
        <w:b w:val="0"/>
        <w:i w:val="0"/>
        <w:color w:val="auto"/>
        <w:sz w:val="24"/>
        <w:szCs w:val="24"/>
      </w:rPr>
    </w:lvl>
    <w:lvl w:ilvl="3">
      <w:start w:val="1"/>
      <w:numFmt w:val="decimal"/>
      <w:lvlText w:val="%4."/>
      <w:lvlJc w:val="righ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lowerRoman"/>
      <w:lvlText w:val="%7)"/>
      <w:lvlJc w:val="right"/>
      <w:pPr>
        <w:ind w:left="5040" w:hanging="720"/>
      </w:pPr>
    </w:lvl>
    <w:lvl w:ilvl="7">
      <w:start w:val="1"/>
      <w:numFmt w:val="lowerLetter"/>
      <w:lvlText w:val="%8."/>
      <w:lvlJc w:val="left"/>
      <w:pPr>
        <w:ind w:left="5760" w:hanging="720"/>
      </w:pPr>
    </w:lvl>
    <w:lvl w:ilvl="8">
      <w:start w:val="1"/>
      <w:numFmt w:val="lowerRoman"/>
      <w:lvlText w:val="%9."/>
      <w:lvlJc w:val="right"/>
      <w:pPr>
        <w:ind w:left="6480" w:hanging="720"/>
      </w:pPr>
    </w:lvl>
  </w:abstractNum>
  <w:abstractNum w:abstractNumId="24" w15:restartNumberingAfterBreak="0">
    <w:nsid w:val="5BE36938"/>
    <w:multiLevelType w:val="hybridMultilevel"/>
    <w:tmpl w:val="CD889962"/>
    <w:lvl w:ilvl="0" w:tplc="4218FA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2530A1"/>
    <w:multiLevelType w:val="hybridMultilevel"/>
    <w:tmpl w:val="3162FCB0"/>
    <w:lvl w:ilvl="0" w:tplc="10B42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72E6E"/>
    <w:multiLevelType w:val="multilevel"/>
    <w:tmpl w:val="17CAF18C"/>
    <w:lvl w:ilvl="0">
      <w:start w:val="1"/>
      <w:numFmt w:val="bullet"/>
      <w:pStyle w:val="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7" w15:restartNumberingAfterBreak="0">
    <w:nsid w:val="600D14D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B15C2C"/>
    <w:multiLevelType w:val="hybridMultilevel"/>
    <w:tmpl w:val="899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0409D"/>
    <w:multiLevelType w:val="hybridMultilevel"/>
    <w:tmpl w:val="33188FA2"/>
    <w:lvl w:ilvl="0" w:tplc="887C9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8"/>
  </w:num>
  <w:num w:numId="13">
    <w:abstractNumId w:val="26"/>
  </w:num>
  <w:num w:numId="14">
    <w:abstractNumId w:val="20"/>
  </w:num>
  <w:num w:numId="15">
    <w:abstractNumId w:val="11"/>
  </w:num>
  <w:num w:numId="16">
    <w:abstractNumId w:val="19"/>
  </w:num>
  <w:num w:numId="17">
    <w:abstractNumId w:val="18"/>
  </w:num>
  <w:num w:numId="18">
    <w:abstractNumId w:val="25"/>
  </w:num>
  <w:num w:numId="19">
    <w:abstractNumId w:val="22"/>
  </w:num>
  <w:num w:numId="20">
    <w:abstractNumId w:val="16"/>
  </w:num>
  <w:num w:numId="21">
    <w:abstractNumId w:val="14"/>
  </w:num>
  <w:num w:numId="22">
    <w:abstractNumId w:val="24"/>
  </w:num>
  <w:num w:numId="23">
    <w:abstractNumId w:val="17"/>
  </w:num>
  <w:num w:numId="24">
    <w:abstractNumId w:val="12"/>
  </w:num>
  <w:num w:numId="25">
    <w:abstractNumId w:val="15"/>
  </w:num>
  <w:num w:numId="26">
    <w:abstractNumId w:val="29"/>
  </w:num>
  <w:num w:numId="27">
    <w:abstractNumId w:val="21"/>
  </w:num>
  <w:num w:numId="28">
    <w:abstractNumId w:val="13"/>
  </w:num>
  <w:num w:numId="29">
    <w:abstractNumId w:val="1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7998"/>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False"/>
    <w:docVar w:name="DocIDLastPage" w:val="True"/>
    <w:docVar w:name="DocIDLibrary" w:val="True"/>
    <w:docVar w:name="DocIDLongDate" w:val="False"/>
    <w:docVar w:name="DocIDPrefix" w:val="False"/>
    <w:docVar w:name="DocIDPrintedDate" w:val="False"/>
    <w:docVar w:name="DocIDRemoved" w:val="False"/>
    <w:docVar w:name="DocIDTime" w:val="False"/>
    <w:docVar w:name="DocIDType" w:val="LastPageTextBox"/>
    <w:docVar w:name="DocIDTypist" w:val="False"/>
    <w:docVar w:name="DocIDVersion" w:val="True"/>
    <w:docVar w:name="DraftRemoved" w:val="True"/>
    <w:docVar w:name="LegacyDocIDRemoved" w:val="True"/>
    <w:docVar w:name="MatterNumber" w:val="19517"/>
    <w:docVar w:name="SavedRange" w:val="0;0"/>
    <w:docVar w:name="SavedStatus" w:val="saved"/>
    <w:docVar w:name="TimeRemoved" w:val="True"/>
  </w:docVars>
  <w:rsids>
    <w:rsidRoot w:val="00AC081F"/>
    <w:rsid w:val="000150E9"/>
    <w:rsid w:val="0004458A"/>
    <w:rsid w:val="000446C8"/>
    <w:rsid w:val="00104722"/>
    <w:rsid w:val="00142005"/>
    <w:rsid w:val="00154338"/>
    <w:rsid w:val="00157BEB"/>
    <w:rsid w:val="00161238"/>
    <w:rsid w:val="001874BB"/>
    <w:rsid w:val="001A7E25"/>
    <w:rsid w:val="00261D08"/>
    <w:rsid w:val="00266412"/>
    <w:rsid w:val="002A32FA"/>
    <w:rsid w:val="002B6EC3"/>
    <w:rsid w:val="002E3B77"/>
    <w:rsid w:val="002F1C57"/>
    <w:rsid w:val="003279EE"/>
    <w:rsid w:val="00330D32"/>
    <w:rsid w:val="00430857"/>
    <w:rsid w:val="00442913"/>
    <w:rsid w:val="004578E1"/>
    <w:rsid w:val="00465CAB"/>
    <w:rsid w:val="004845D1"/>
    <w:rsid w:val="004C4E8B"/>
    <w:rsid w:val="004F0099"/>
    <w:rsid w:val="00515356"/>
    <w:rsid w:val="005224BD"/>
    <w:rsid w:val="00525F5B"/>
    <w:rsid w:val="005659B5"/>
    <w:rsid w:val="00567B2B"/>
    <w:rsid w:val="005A5C44"/>
    <w:rsid w:val="005B65C4"/>
    <w:rsid w:val="005D36C3"/>
    <w:rsid w:val="00623753"/>
    <w:rsid w:val="00623803"/>
    <w:rsid w:val="0065436D"/>
    <w:rsid w:val="00685263"/>
    <w:rsid w:val="00687785"/>
    <w:rsid w:val="00690116"/>
    <w:rsid w:val="006B1111"/>
    <w:rsid w:val="006E2A8F"/>
    <w:rsid w:val="006E7EA2"/>
    <w:rsid w:val="006F53F5"/>
    <w:rsid w:val="0074566C"/>
    <w:rsid w:val="007472AB"/>
    <w:rsid w:val="007C58DB"/>
    <w:rsid w:val="007E34B6"/>
    <w:rsid w:val="007F1A48"/>
    <w:rsid w:val="008354E5"/>
    <w:rsid w:val="008474D7"/>
    <w:rsid w:val="008D5085"/>
    <w:rsid w:val="008E37A2"/>
    <w:rsid w:val="008F0ECB"/>
    <w:rsid w:val="0091347C"/>
    <w:rsid w:val="0092035C"/>
    <w:rsid w:val="009903A2"/>
    <w:rsid w:val="00993ACC"/>
    <w:rsid w:val="009A2C1A"/>
    <w:rsid w:val="009B6996"/>
    <w:rsid w:val="009F4394"/>
    <w:rsid w:val="00A312C6"/>
    <w:rsid w:val="00A35F51"/>
    <w:rsid w:val="00A4626B"/>
    <w:rsid w:val="00A6021A"/>
    <w:rsid w:val="00A9408D"/>
    <w:rsid w:val="00AC081F"/>
    <w:rsid w:val="00AC1E44"/>
    <w:rsid w:val="00AC2CD6"/>
    <w:rsid w:val="00AF7524"/>
    <w:rsid w:val="00B0107C"/>
    <w:rsid w:val="00B635A7"/>
    <w:rsid w:val="00BB14BA"/>
    <w:rsid w:val="00BD7F48"/>
    <w:rsid w:val="00BE0D30"/>
    <w:rsid w:val="00BF4260"/>
    <w:rsid w:val="00C06F46"/>
    <w:rsid w:val="00C36E63"/>
    <w:rsid w:val="00C625E7"/>
    <w:rsid w:val="00C739DA"/>
    <w:rsid w:val="00CD1451"/>
    <w:rsid w:val="00D212F2"/>
    <w:rsid w:val="00D21578"/>
    <w:rsid w:val="00DB6775"/>
    <w:rsid w:val="00DB7F39"/>
    <w:rsid w:val="00DF5F4F"/>
    <w:rsid w:val="00E544A9"/>
    <w:rsid w:val="00E55BEC"/>
    <w:rsid w:val="00E7178A"/>
    <w:rsid w:val="00EE0EFD"/>
    <w:rsid w:val="00F1296D"/>
    <w:rsid w:val="00F27041"/>
    <w:rsid w:val="00F442AD"/>
    <w:rsid w:val="00FC36D1"/>
    <w:rsid w:val="00FC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4F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after="240"/>
      <w:jc w:val="center"/>
      <w:outlineLvl w:val="0"/>
    </w:pPr>
    <w:rPr>
      <w:rFonts w:eastAsia="Times New Roman" w:cs="Times New Roman"/>
      <w:b/>
      <w:bCs/>
      <w:color w:val="000000" w:themeColor="text1"/>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eastAsia="Times New Roman" w:cs="Times New Roman"/>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eastAsia="Times New Roman" w:cs="Times New Roman"/>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eastAsia="Times New Roman" w:cs="Times New Roman"/>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eastAsia="Times New Roman" w:cs="Times New Roman"/>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eastAsia="Times New Roman" w:cs="Times New Roman"/>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eastAsia="Times New Roman" w:cs="Times New Roman"/>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MS Mincho"/>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99"/>
    <w:semiHidden/>
    <w:unhideWhenUsed/>
    <w:rPr>
      <w:rFonts w:eastAsia="Times New Roman" w:cs="Times New Roman"/>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sz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themeColor="text1"/>
      <w:sz w:val="24"/>
      <w:szCs w:val="28"/>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Pr>
      <w:rFonts w:ascii="Times New Roman" w:eastAsia="Times New Roman" w:hAnsi="Times New Roman" w:cs="Times New Roman"/>
      <w:color w:val="404040" w:themeColor="text1" w:themeTint="BF"/>
      <w:sz w:val="20"/>
      <w:szCs w:val="20"/>
    </w:rPr>
  </w:style>
  <w:style w:type="character" w:customStyle="1" w:styleId="Heading9Char">
    <w:name w:val="Heading 9 Char"/>
    <w:basedOn w:val="DefaultParagraphFont"/>
    <w:link w:val="Heading9"/>
    <w:uiPriority w:val="9"/>
    <w:semiHidden/>
    <w:rPr>
      <w:rFonts w:ascii="Times New Roman" w:eastAsia="Times New Roman" w:hAnsi="Times New Roman" w:cs="Times New Roman"/>
      <w:i/>
      <w:iCs/>
      <w:color w:val="404040" w:themeColor="text1" w:themeTint="BF"/>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eastAsia="Times New Roman" w:cs="Times New Roman"/>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Times New Roman"/>
      <w:szCs w:val="24"/>
    </w:rPr>
  </w:style>
  <w:style w:type="character" w:customStyle="1" w:styleId="MessageHeaderChar">
    <w:name w:val="Message Header Char"/>
    <w:basedOn w:val="DefaultParagraphFont"/>
    <w:link w:val="MessageHeader"/>
    <w:uiPriority w:val="99"/>
    <w:semiHidden/>
    <w:rPr>
      <w:rFonts w:ascii="Times New Roman" w:eastAsia="Times New Roman" w:hAnsi="Times New Roman" w:cs="Times New Roman"/>
      <w:sz w:val="24"/>
      <w:szCs w:val="24"/>
      <w:shd w:val="pct20" w:color="auto" w:fill="auto"/>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Pr>
      <w:rFonts w:cs="Times New Roman"/>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pPr>
    <w:rPr>
      <w:rFonts w:eastAsia="Times New Roman" w:cs="Times New Roman"/>
      <w:i/>
      <w:iCs/>
      <w:color w:val="4F81BD" w:themeColor="accent1"/>
      <w:spacing w:val="15"/>
      <w:szCs w:val="24"/>
    </w:rPr>
  </w:style>
  <w:style w:type="character" w:customStyle="1" w:styleId="SubtitleChar">
    <w:name w:val="Subtitle Char"/>
    <w:basedOn w:val="DefaultParagraphFont"/>
    <w:link w:val="Subtitle"/>
    <w:uiPriority w:val="11"/>
    <w:rPr>
      <w:rFonts w:ascii="Times New Roman" w:eastAsia="Times New Roman" w:hAnsi="Times New Roman"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eastAsia="Times New Roman" w:cs="Times New Roman"/>
      <w:color w:val="17365D" w:themeColor="text2" w:themeShade="BF"/>
      <w:spacing w:val="5"/>
      <w:kern w:val="28"/>
      <w:sz w:val="52"/>
      <w:szCs w:val="52"/>
    </w:rPr>
  </w:style>
  <w:style w:type="character" w:customStyle="1" w:styleId="TitleChar">
    <w:name w:val="Title Char"/>
    <w:basedOn w:val="DefaultParagraphFont"/>
    <w:link w:val="Title"/>
    <w:uiPriority w:val="10"/>
    <w:rPr>
      <w:rFonts w:ascii="Times New Roman" w:eastAsia="Times New Roman" w:hAnsi="Times New Roman" w:cs="Times New Roman"/>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eastAsia="Times New Roman" w:cs="Times New Roman"/>
      <w:b/>
      <w:bCs/>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Normal"/>
    <w:next w:val="Normal"/>
    <w:uiPriority w:val="39"/>
    <w:unhideWhenUsed/>
    <w:qFormat/>
    <w:pPr>
      <w:spacing w:after="240"/>
      <w:jc w:val="center"/>
    </w:pPr>
    <w:rPr>
      <w:b/>
    </w:rPr>
  </w:style>
  <w:style w:type="numbering" w:styleId="111111">
    <w:name w:val="Outline List 2"/>
    <w:basedOn w:val="NoList"/>
    <w:uiPriority w:val="99"/>
    <w:semiHidden/>
    <w:unhideWhenUsed/>
    <w:pPr>
      <w:numPr>
        <w:numId w:val="11"/>
      </w:numPr>
    </w:pPr>
  </w:style>
  <w:style w:type="paragraph" w:customStyle="1" w:styleId="BDBodyTextSgl">
    <w:name w:val="B&amp;D Body Text Sgl"/>
    <w:basedOn w:val="Normal"/>
    <w:qFormat/>
    <w:pPr>
      <w:spacing w:after="240"/>
    </w:pPr>
  </w:style>
  <w:style w:type="paragraph" w:customStyle="1" w:styleId="BDBodyTextDbl">
    <w:name w:val="B&amp;D Body Text Dbl"/>
    <w:basedOn w:val="Normal"/>
    <w:qFormat/>
    <w:pPr>
      <w:spacing w:after="240" w:line="480" w:lineRule="auto"/>
    </w:pPr>
  </w:style>
  <w:style w:type="paragraph" w:customStyle="1" w:styleId="BDBodyTextIndentSgl">
    <w:name w:val="B&amp;D Body Text Indent Sgl"/>
    <w:basedOn w:val="Normal"/>
    <w:qFormat/>
    <w:pPr>
      <w:spacing w:after="240"/>
      <w:ind w:firstLine="1440"/>
    </w:pPr>
  </w:style>
  <w:style w:type="paragraph" w:customStyle="1" w:styleId="BDBodyTextIndentDouble">
    <w:name w:val="B&amp;D Body Text Indent Double"/>
    <w:basedOn w:val="Normal"/>
    <w:qFormat/>
    <w:pPr>
      <w:spacing w:after="240" w:line="480" w:lineRule="auto"/>
      <w:ind w:firstLine="1440"/>
    </w:pPr>
  </w:style>
  <w:style w:type="paragraph" w:customStyle="1" w:styleId="BDTitle">
    <w:name w:val="B&amp;D Title"/>
    <w:basedOn w:val="Normal"/>
    <w:next w:val="Normal"/>
    <w:qFormat/>
    <w:pPr>
      <w:keepNext/>
      <w:spacing w:after="240"/>
      <w:jc w:val="center"/>
    </w:pPr>
    <w:rPr>
      <w:b/>
      <w:u w:val="single"/>
    </w:rPr>
  </w:style>
  <w:style w:type="paragraph" w:customStyle="1" w:styleId="BDHeading1">
    <w:name w:val="B&amp;D Heading 1"/>
    <w:basedOn w:val="Normal"/>
    <w:next w:val="Normal"/>
    <w:qFormat/>
    <w:pPr>
      <w:keepNext/>
      <w:keepLines/>
      <w:spacing w:after="240"/>
      <w:jc w:val="center"/>
      <w:outlineLvl w:val="0"/>
    </w:pPr>
    <w:rPr>
      <w:b/>
    </w:rPr>
  </w:style>
  <w:style w:type="paragraph" w:customStyle="1" w:styleId="BDHeading2">
    <w:name w:val="B&amp;D Heading 2"/>
    <w:basedOn w:val="Normal"/>
    <w:next w:val="Normal"/>
    <w:qFormat/>
    <w:pPr>
      <w:keepNext/>
      <w:keepLines/>
      <w:spacing w:after="240"/>
      <w:outlineLvl w:val="1"/>
    </w:pPr>
    <w:rPr>
      <w:b/>
    </w:rPr>
  </w:style>
  <w:style w:type="paragraph" w:customStyle="1" w:styleId="BDHeading3">
    <w:name w:val="B&amp;D Heading 3"/>
    <w:basedOn w:val="Normal"/>
    <w:next w:val="Normal"/>
    <w:qFormat/>
    <w:pPr>
      <w:keepNext/>
      <w:keepLines/>
      <w:spacing w:after="240"/>
      <w:jc w:val="center"/>
    </w:pPr>
    <w:rPr>
      <w:u w:val="single"/>
    </w:rPr>
  </w:style>
  <w:style w:type="paragraph" w:customStyle="1" w:styleId="BDHeading4">
    <w:name w:val="B&amp;D Heading 4"/>
    <w:basedOn w:val="Normal"/>
    <w:next w:val="Normal"/>
    <w:qFormat/>
    <w:pPr>
      <w:keepNext/>
      <w:keepLines/>
      <w:spacing w:after="240"/>
      <w:outlineLvl w:val="3"/>
    </w:pPr>
    <w:rPr>
      <w:u w:val="single"/>
    </w:rPr>
  </w:style>
  <w:style w:type="paragraph" w:customStyle="1" w:styleId="BDBulletsSgl">
    <w:name w:val="B&amp;D Bullets Sgl"/>
    <w:basedOn w:val="Normal"/>
    <w:qFormat/>
    <w:pPr>
      <w:numPr>
        <w:numId w:val="13"/>
      </w:numPr>
      <w:tabs>
        <w:tab w:val="left" w:pos="720"/>
      </w:tabs>
      <w:spacing w:after="240"/>
      <w:ind w:left="720" w:hanging="720"/>
      <w:outlineLvl w:val="0"/>
    </w:pPr>
  </w:style>
  <w:style w:type="paragraph" w:customStyle="1" w:styleId="BDQuote">
    <w:name w:val="B&amp;D Quote"/>
    <w:basedOn w:val="Normal"/>
    <w:next w:val="Normal"/>
    <w:qFormat/>
    <w:pPr>
      <w:spacing w:after="240"/>
      <w:ind w:left="1440" w:right="1440"/>
    </w:pPr>
  </w:style>
  <w:style w:type="paragraph" w:customStyle="1" w:styleId="BDSignLine">
    <w:name w:val="B&amp;D Sign Line"/>
    <w:basedOn w:val="Normal"/>
    <w:qFormat/>
    <w:pPr>
      <w:keepNext/>
      <w:keepLines/>
      <w:widowControl w:val="0"/>
      <w:tabs>
        <w:tab w:val="left" w:pos="5126"/>
        <w:tab w:val="right" w:pos="9360"/>
      </w:tabs>
      <w:ind w:left="4320"/>
    </w:pPr>
  </w:style>
  <w:style w:type="paragraph" w:customStyle="1" w:styleId="DoubleSign">
    <w:name w:val="Double Sign"/>
    <w:basedOn w:val="Normal"/>
    <w:qFormat/>
    <w:pPr>
      <w:keepNext/>
      <w:keepLines/>
      <w:widowControl w:val="0"/>
      <w:tabs>
        <w:tab w:val="left" w:pos="720"/>
        <w:tab w:val="right" w:pos="4320"/>
        <w:tab w:val="left" w:pos="4680"/>
        <w:tab w:val="left" w:pos="5400"/>
        <w:tab w:val="right" w:pos="9360"/>
      </w:tabs>
    </w:pPr>
  </w:style>
  <w:style w:type="paragraph" w:customStyle="1" w:styleId="TOCPage">
    <w:name w:val="TOC Page"/>
    <w:basedOn w:val="Normal"/>
    <w:semiHidden/>
    <w:unhideWhenUsed/>
    <w:qFormat/>
    <w:pPr>
      <w:spacing w:after="240"/>
      <w:jc w:val="right"/>
    </w:pPr>
    <w:rPr>
      <w: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indented paragraphs"/>
    <w:basedOn w:val="BDBodyTextIndentSgl"/>
    <w:pPr>
      <w:ind w:left="720" w:right="720" w:firstLine="720"/>
      <w:jc w:val="both"/>
    </w:pPr>
    <w:rPr>
      <w:rFonts w:eastAsia="Times New Roman" w:cs="Times New Roman"/>
      <w:szCs w:val="20"/>
      <w:lang w:eastAsia="ja-JP"/>
    </w:rPr>
  </w:style>
  <w:style w:type="character" w:styleId="Hyperlink">
    <w:name w:val="Hyperlink"/>
    <w:basedOn w:val="DefaultParagraphFont"/>
    <w:uiPriority w:val="99"/>
    <w:unhideWhenUsed/>
    <w:rsid w:val="00FC464B"/>
    <w:rPr>
      <w:color w:val="0000FF" w:themeColor="hyperlink"/>
      <w:u w:val="single"/>
    </w:rPr>
  </w:style>
  <w:style w:type="character" w:customStyle="1" w:styleId="UnresolvedMention1">
    <w:name w:val="Unresolved Mention1"/>
    <w:basedOn w:val="DefaultParagraphFont"/>
    <w:uiPriority w:val="99"/>
    <w:semiHidden/>
    <w:unhideWhenUsed/>
    <w:rsid w:val="00FC46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56476">
      <w:bodyDiv w:val="1"/>
      <w:marLeft w:val="0"/>
      <w:marRight w:val="0"/>
      <w:marTop w:val="0"/>
      <w:marBottom w:val="0"/>
      <w:divBdr>
        <w:top w:val="none" w:sz="0" w:space="0" w:color="auto"/>
        <w:left w:val="none" w:sz="0" w:space="0" w:color="auto"/>
        <w:bottom w:val="none" w:sz="0" w:space="0" w:color="auto"/>
        <w:right w:val="none" w:sz="0" w:space="0" w:color="auto"/>
      </w:divBdr>
    </w:div>
    <w:div w:id="17507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D809-1BE9-4226-87D9-BEEFCF5C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2011-08-02T13:24:00Z</cp:lastPrinted>
  <dcterms:created xsi:type="dcterms:W3CDTF">2019-08-19T17:51:00Z</dcterms:created>
  <dcterms:modified xsi:type="dcterms:W3CDTF">2019-08-19T17:51:00Z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US.120669652.02</vt:lpwstr>
  </property>
</Properties>
</file>